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B2" w:rsidRDefault="00FC6EB2" w:rsidP="00FC6EB2">
      <w:pPr>
        <w:tabs>
          <w:tab w:val="left" w:pos="5651"/>
        </w:tabs>
        <w:jc w:val="center"/>
        <w:rPr>
          <w:rFonts w:ascii="Arial" w:hAnsi="Arial" w:cs="Arial"/>
          <w:b/>
          <w:sz w:val="24"/>
          <w:szCs w:val="24"/>
        </w:rPr>
      </w:pPr>
      <w:bookmarkStart w:id="0" w:name="_Toc30598396"/>
      <w:bookmarkStart w:id="1" w:name="_GoBack"/>
      <w:bookmarkEnd w:id="1"/>
    </w:p>
    <w:p w:rsidR="00FC6EB2" w:rsidRDefault="00FC6EB2" w:rsidP="00FC6EB2">
      <w:pPr>
        <w:tabs>
          <w:tab w:val="left" w:pos="5651"/>
        </w:tabs>
        <w:jc w:val="center"/>
        <w:rPr>
          <w:rFonts w:ascii="Arial" w:hAnsi="Arial" w:cs="Arial"/>
          <w:b/>
          <w:sz w:val="24"/>
          <w:szCs w:val="24"/>
        </w:rPr>
      </w:pPr>
    </w:p>
    <w:p w:rsidR="00FC6EB2" w:rsidRDefault="00FC6EB2" w:rsidP="00FC6EB2">
      <w:pPr>
        <w:tabs>
          <w:tab w:val="left" w:pos="5651"/>
        </w:tabs>
        <w:jc w:val="center"/>
        <w:rPr>
          <w:rFonts w:ascii="Arial" w:hAnsi="Arial" w:cs="Arial"/>
          <w:b/>
          <w:sz w:val="24"/>
          <w:szCs w:val="24"/>
        </w:rPr>
      </w:pPr>
    </w:p>
    <w:p w:rsidR="00FC6EB2" w:rsidRDefault="00FC6EB2" w:rsidP="00FC6EB2">
      <w:pPr>
        <w:tabs>
          <w:tab w:val="left" w:pos="5651"/>
        </w:tabs>
        <w:jc w:val="center"/>
        <w:rPr>
          <w:rFonts w:ascii="Arial" w:hAnsi="Arial" w:cs="Arial"/>
          <w:b/>
          <w:sz w:val="24"/>
          <w:szCs w:val="24"/>
        </w:rPr>
      </w:pPr>
    </w:p>
    <w:p w:rsidR="00FC6EB2" w:rsidRDefault="00FC6EB2" w:rsidP="00FC6EB2">
      <w:pPr>
        <w:tabs>
          <w:tab w:val="left" w:pos="5651"/>
        </w:tabs>
        <w:jc w:val="center"/>
        <w:rPr>
          <w:rFonts w:ascii="Arial" w:hAnsi="Arial" w:cs="Arial"/>
          <w:b/>
          <w:sz w:val="24"/>
          <w:szCs w:val="24"/>
        </w:rPr>
      </w:pPr>
    </w:p>
    <w:p w:rsidR="00077DC6" w:rsidRDefault="00077DC6" w:rsidP="00FC6EB2">
      <w:pPr>
        <w:tabs>
          <w:tab w:val="left" w:pos="5651"/>
        </w:tabs>
        <w:jc w:val="center"/>
        <w:rPr>
          <w:rFonts w:ascii="Arial" w:hAnsi="Arial" w:cs="Arial"/>
          <w:b/>
          <w:sz w:val="24"/>
          <w:szCs w:val="24"/>
        </w:rPr>
      </w:pPr>
    </w:p>
    <w:p w:rsidR="00077DC6" w:rsidRDefault="00077DC6" w:rsidP="00FC6EB2">
      <w:pPr>
        <w:tabs>
          <w:tab w:val="left" w:pos="5651"/>
        </w:tabs>
        <w:jc w:val="center"/>
        <w:rPr>
          <w:rFonts w:ascii="Arial" w:hAnsi="Arial" w:cs="Arial"/>
          <w:b/>
          <w:sz w:val="24"/>
          <w:szCs w:val="24"/>
        </w:rPr>
      </w:pPr>
    </w:p>
    <w:p w:rsidR="00FC6EB2" w:rsidRDefault="00FC6EB2" w:rsidP="00FC6EB2">
      <w:pPr>
        <w:tabs>
          <w:tab w:val="left" w:pos="5651"/>
        </w:tabs>
        <w:jc w:val="center"/>
        <w:rPr>
          <w:rFonts w:ascii="Arial" w:hAnsi="Arial" w:cs="Arial"/>
          <w:b/>
          <w:sz w:val="24"/>
          <w:szCs w:val="24"/>
        </w:rPr>
      </w:pPr>
    </w:p>
    <w:p w:rsidR="00FC6EB2" w:rsidRDefault="00FC6EB2" w:rsidP="00FC6EB2">
      <w:pPr>
        <w:tabs>
          <w:tab w:val="left" w:pos="5651"/>
        </w:tabs>
        <w:jc w:val="center"/>
        <w:rPr>
          <w:rFonts w:ascii="Arial" w:hAnsi="Arial" w:cs="Arial"/>
          <w:b/>
          <w:sz w:val="24"/>
          <w:szCs w:val="24"/>
        </w:rPr>
      </w:pPr>
    </w:p>
    <w:p w:rsidR="00FC6EB2" w:rsidRDefault="00FC6EB2" w:rsidP="00FC6EB2">
      <w:pPr>
        <w:tabs>
          <w:tab w:val="left" w:pos="5651"/>
        </w:tabs>
        <w:jc w:val="center"/>
        <w:rPr>
          <w:rFonts w:ascii="Arial" w:hAnsi="Arial" w:cs="Arial"/>
          <w:b/>
          <w:sz w:val="24"/>
          <w:szCs w:val="24"/>
        </w:rPr>
      </w:pPr>
    </w:p>
    <w:p w:rsidR="00FC6EB2" w:rsidRPr="00BB533C" w:rsidRDefault="00FC6EB2" w:rsidP="00FC6EB2">
      <w:pPr>
        <w:tabs>
          <w:tab w:val="left" w:pos="5651"/>
        </w:tabs>
        <w:jc w:val="center"/>
        <w:rPr>
          <w:rFonts w:ascii="Arial" w:hAnsi="Arial" w:cs="Arial"/>
          <w:b/>
          <w:sz w:val="24"/>
          <w:szCs w:val="24"/>
        </w:rPr>
      </w:pPr>
      <w:r w:rsidRPr="00BB533C">
        <w:rPr>
          <w:rFonts w:ascii="Arial" w:hAnsi="Arial" w:cs="Arial"/>
          <w:b/>
          <w:sz w:val="24"/>
          <w:szCs w:val="24"/>
        </w:rPr>
        <w:t>PLAN ANTICORRUPCIÓN</w:t>
      </w:r>
      <w:r>
        <w:rPr>
          <w:rFonts w:ascii="Arial" w:hAnsi="Arial" w:cs="Arial"/>
          <w:b/>
          <w:sz w:val="24"/>
          <w:szCs w:val="24"/>
        </w:rPr>
        <w:t xml:space="preserve"> </w:t>
      </w:r>
      <w:r w:rsidRPr="00BB533C">
        <w:rPr>
          <w:rFonts w:ascii="Arial" w:hAnsi="Arial" w:cs="Arial"/>
          <w:b/>
          <w:sz w:val="24"/>
          <w:szCs w:val="24"/>
        </w:rPr>
        <w:t>Y DE ATENCIÓN AL CIUDADANO 2020</w:t>
      </w:r>
    </w:p>
    <w:p w:rsidR="004A05BF" w:rsidRDefault="004A05BF" w:rsidP="00FC6EB2">
      <w:pPr>
        <w:pStyle w:val="Ttulo1"/>
        <w:jc w:val="center"/>
        <w:rPr>
          <w:rFonts w:cs="Arial"/>
          <w:sz w:val="24"/>
          <w:szCs w:val="24"/>
        </w:rPr>
      </w:pPr>
      <w:r w:rsidRPr="00BB533C">
        <w:rPr>
          <w:rFonts w:cs="Arial"/>
          <w:sz w:val="24"/>
          <w:szCs w:val="24"/>
        </w:rPr>
        <w:t>Componente 2.</w:t>
      </w:r>
      <w:r w:rsidRPr="00BB533C">
        <w:rPr>
          <w:rFonts w:cs="Arial"/>
          <w:sz w:val="24"/>
          <w:szCs w:val="24"/>
        </w:rPr>
        <w:tab/>
        <w:t>Racionalización de trámites</w:t>
      </w:r>
      <w:bookmarkEnd w:id="0"/>
    </w:p>
    <w:p w:rsidR="00FC6EB2" w:rsidRDefault="00FC6EB2" w:rsidP="00FC6EB2"/>
    <w:p w:rsidR="00FC6EB2" w:rsidRDefault="00FC6EB2" w:rsidP="00FC6EB2"/>
    <w:p w:rsidR="00FC6EB2" w:rsidRDefault="00FC6EB2" w:rsidP="00FC6EB2"/>
    <w:p w:rsidR="00FC6EB2" w:rsidRDefault="00FC6EB2" w:rsidP="00FC6EB2"/>
    <w:p w:rsidR="00FC6EB2" w:rsidRDefault="00FC6EB2" w:rsidP="00FC6EB2"/>
    <w:p w:rsidR="00FC6EB2" w:rsidRDefault="00FC6EB2" w:rsidP="00FC6EB2"/>
    <w:p w:rsidR="00167464" w:rsidRDefault="00167464" w:rsidP="00167464">
      <w:pPr>
        <w:jc w:val="center"/>
        <w:rPr>
          <w:b/>
          <w:sz w:val="28"/>
        </w:rPr>
      </w:pPr>
      <w:r>
        <w:rPr>
          <w:b/>
          <w:sz w:val="28"/>
        </w:rPr>
        <w:t xml:space="preserve">Versión 1.0 </w:t>
      </w:r>
    </w:p>
    <w:p w:rsidR="00167464" w:rsidRPr="003E18FD" w:rsidRDefault="00167464" w:rsidP="00167464">
      <w:pPr>
        <w:jc w:val="center"/>
        <w:rPr>
          <w:b/>
          <w:sz w:val="28"/>
        </w:rPr>
      </w:pPr>
      <w:r>
        <w:rPr>
          <w:b/>
          <w:sz w:val="28"/>
        </w:rPr>
        <w:t>Enero de 2020</w:t>
      </w:r>
    </w:p>
    <w:p w:rsidR="00FC6EB2" w:rsidRDefault="00FC6EB2" w:rsidP="00FC6EB2"/>
    <w:p w:rsidR="00FC6EB2" w:rsidRDefault="00FC6EB2" w:rsidP="00FC6EB2"/>
    <w:p w:rsidR="00FC6EB2" w:rsidRDefault="00FC6EB2" w:rsidP="00FC6EB2"/>
    <w:p w:rsidR="004A05BF" w:rsidRPr="00BB533C" w:rsidRDefault="004A05BF" w:rsidP="00BB533C">
      <w:pPr>
        <w:jc w:val="both"/>
        <w:rPr>
          <w:rFonts w:ascii="Arial" w:hAnsi="Arial" w:cs="Arial"/>
          <w:sz w:val="24"/>
          <w:szCs w:val="24"/>
        </w:rPr>
      </w:pPr>
      <w:r w:rsidRPr="00BB533C">
        <w:rPr>
          <w:rFonts w:ascii="Arial" w:hAnsi="Arial" w:cs="Arial"/>
          <w:sz w:val="24"/>
          <w:szCs w:val="24"/>
        </w:rPr>
        <w:lastRenderedPageBreak/>
        <w:t>Para la Auditoría Gener</w:t>
      </w:r>
      <w:r w:rsidR="00A62B80" w:rsidRPr="00BB533C">
        <w:rPr>
          <w:rFonts w:ascii="Arial" w:hAnsi="Arial" w:cs="Arial"/>
          <w:sz w:val="24"/>
          <w:szCs w:val="24"/>
        </w:rPr>
        <w:t>al de la República, se</w:t>
      </w:r>
      <w:r w:rsidR="00235552" w:rsidRPr="00BB533C">
        <w:rPr>
          <w:rFonts w:ascii="Arial" w:hAnsi="Arial" w:cs="Arial"/>
          <w:sz w:val="24"/>
          <w:szCs w:val="24"/>
        </w:rPr>
        <w:t xml:space="preserve"> ha</w:t>
      </w:r>
      <w:r w:rsidR="00A62B80" w:rsidRPr="00BB533C">
        <w:rPr>
          <w:rFonts w:ascii="Arial" w:hAnsi="Arial" w:cs="Arial"/>
          <w:sz w:val="24"/>
          <w:szCs w:val="24"/>
        </w:rPr>
        <w:t xml:space="preserve"> revisa</w:t>
      </w:r>
      <w:r w:rsidRPr="00BB533C">
        <w:rPr>
          <w:rFonts w:ascii="Arial" w:hAnsi="Arial" w:cs="Arial"/>
          <w:sz w:val="24"/>
          <w:szCs w:val="24"/>
        </w:rPr>
        <w:t xml:space="preserve">do </w:t>
      </w:r>
      <w:r w:rsidR="00A62B80" w:rsidRPr="00BB533C">
        <w:rPr>
          <w:rFonts w:ascii="Arial" w:hAnsi="Arial" w:cs="Arial"/>
          <w:sz w:val="24"/>
          <w:szCs w:val="24"/>
        </w:rPr>
        <w:t xml:space="preserve">en vigencias </w:t>
      </w:r>
      <w:r w:rsidR="00450D02" w:rsidRPr="00BB533C">
        <w:rPr>
          <w:rFonts w:ascii="Arial" w:hAnsi="Arial" w:cs="Arial"/>
          <w:sz w:val="24"/>
          <w:szCs w:val="24"/>
        </w:rPr>
        <w:t>anteriores</w:t>
      </w:r>
      <w:r w:rsidR="00A62B80" w:rsidRPr="00BB533C">
        <w:rPr>
          <w:rFonts w:ascii="Arial" w:hAnsi="Arial" w:cs="Arial"/>
          <w:sz w:val="24"/>
          <w:szCs w:val="24"/>
        </w:rPr>
        <w:t xml:space="preserve">, </w:t>
      </w:r>
      <w:r w:rsidRPr="00BB533C">
        <w:rPr>
          <w:rFonts w:ascii="Arial" w:hAnsi="Arial" w:cs="Arial"/>
          <w:sz w:val="24"/>
          <w:szCs w:val="24"/>
        </w:rPr>
        <w:t>el concepto de trámite</w:t>
      </w:r>
      <w:r w:rsidR="00A62B80" w:rsidRPr="00BB533C">
        <w:rPr>
          <w:rFonts w:ascii="Arial" w:hAnsi="Arial" w:cs="Arial"/>
          <w:sz w:val="24"/>
          <w:szCs w:val="24"/>
        </w:rPr>
        <w:t xml:space="preserve">, </w:t>
      </w:r>
      <w:r w:rsidRPr="00BB533C">
        <w:rPr>
          <w:rFonts w:ascii="Arial" w:hAnsi="Arial" w:cs="Arial"/>
          <w:sz w:val="24"/>
          <w:szCs w:val="24"/>
        </w:rPr>
        <w:t>y  según lo establecido en la “</w:t>
      </w:r>
      <w:r w:rsidRPr="00BB533C">
        <w:rPr>
          <w:rFonts w:ascii="Arial" w:hAnsi="Arial" w:cs="Arial"/>
          <w:i/>
          <w:iCs/>
          <w:sz w:val="24"/>
          <w:szCs w:val="24"/>
        </w:rPr>
        <w:t xml:space="preserve">Guía de usuario del Sistema de Gestión de Trámites y  la resolución 1099 de 2017 del Departamento Administrativo de la Función Pública, por la cual se establecen los procedimientos para autorización de trámites y el seguimiento a la política de racionalización de trámites, </w:t>
      </w:r>
      <w:r w:rsidRPr="00BB533C">
        <w:rPr>
          <w:rFonts w:ascii="Arial" w:hAnsi="Arial" w:cs="Arial"/>
          <w:sz w:val="24"/>
          <w:szCs w:val="24"/>
        </w:rPr>
        <w:t xml:space="preserve"> se puede concluir que los procesos que atiende la entidad con cara al ciudadano, no son de registro ante Sistema Único de Información de Trámites – SUIT.</w:t>
      </w:r>
      <w:r w:rsidR="00450D02" w:rsidRPr="00BB533C">
        <w:rPr>
          <w:rFonts w:ascii="Arial" w:hAnsi="Arial" w:cs="Arial"/>
          <w:sz w:val="24"/>
          <w:szCs w:val="24"/>
        </w:rPr>
        <w:t xml:space="preserve">  </w:t>
      </w:r>
      <w:r w:rsidRPr="00BB533C">
        <w:rPr>
          <w:rFonts w:ascii="Arial" w:hAnsi="Arial" w:cs="Arial"/>
          <w:sz w:val="24"/>
          <w:szCs w:val="24"/>
        </w:rPr>
        <w:t xml:space="preserve">Por ende el análisis del PAAC referido a este tema se realiza desde el proceso de Participación Ciudadana y específicamente al procedimiento de atención de </w:t>
      </w:r>
      <w:r w:rsidR="00450D02" w:rsidRPr="00BB533C">
        <w:rPr>
          <w:rFonts w:ascii="Arial" w:hAnsi="Arial" w:cs="Arial"/>
          <w:sz w:val="24"/>
          <w:szCs w:val="24"/>
        </w:rPr>
        <w:t>peticiones ciudadanas</w:t>
      </w:r>
      <w:r w:rsidRPr="00BB533C">
        <w:rPr>
          <w:rFonts w:ascii="Arial" w:hAnsi="Arial" w:cs="Arial"/>
          <w:sz w:val="24"/>
          <w:szCs w:val="24"/>
        </w:rPr>
        <w:t>.</w:t>
      </w:r>
    </w:p>
    <w:p w:rsidR="00450D02" w:rsidRPr="00BB533C" w:rsidRDefault="00450D02" w:rsidP="00BB533C">
      <w:pPr>
        <w:autoSpaceDE w:val="0"/>
        <w:autoSpaceDN w:val="0"/>
        <w:adjustRightInd w:val="0"/>
        <w:spacing w:after="0"/>
        <w:jc w:val="both"/>
        <w:rPr>
          <w:rFonts w:ascii="Arial" w:hAnsi="Arial" w:cs="Arial"/>
          <w:i/>
          <w:sz w:val="24"/>
          <w:szCs w:val="24"/>
        </w:rPr>
      </w:pPr>
      <w:r w:rsidRPr="00BB533C">
        <w:rPr>
          <w:rFonts w:ascii="Arial" w:hAnsi="Arial" w:cs="Arial"/>
          <w:sz w:val="24"/>
          <w:szCs w:val="24"/>
        </w:rPr>
        <w:t>Respecto de las necesidades orientadas a la racionalización y simplificación del servicio de atención de peticiones ciudadanas, se observa que</w:t>
      </w:r>
      <w:r w:rsidRPr="00BB533C">
        <w:rPr>
          <w:rFonts w:ascii="Arial" w:hAnsi="Arial" w:cs="Arial"/>
          <w:b/>
          <w:sz w:val="24"/>
          <w:szCs w:val="24"/>
        </w:rPr>
        <w:t xml:space="preserve"> </w:t>
      </w:r>
      <w:r w:rsidRPr="00BB533C">
        <w:rPr>
          <w:rFonts w:ascii="Arial" w:hAnsi="Arial" w:cs="Arial"/>
          <w:sz w:val="24"/>
          <w:szCs w:val="24"/>
        </w:rPr>
        <w:t xml:space="preserve">de acuerdo con la estrategia para la construcción del Plan Anticorrupción y Atención al Ciudadano, la racionalización de trámites </w:t>
      </w:r>
      <w:r w:rsidRPr="00BB533C">
        <w:rPr>
          <w:rFonts w:ascii="Arial" w:hAnsi="Arial" w:cs="Arial"/>
          <w:i/>
          <w:sz w:val="24"/>
          <w:szCs w:val="24"/>
        </w:rPr>
        <w:t>“facilita el acceso a los servicios que brinda la administración pública, y le permite a las entidades simplificar, estandarizar, eliminar, optimizar y automatizar los trámites existentes, acercando el ciudadano a los servicios que presta el Estado, mediante la modernización y el aumento de la eficiencia de sus procedimientos”</w:t>
      </w:r>
      <w:r w:rsidRPr="00BB533C">
        <w:rPr>
          <w:rFonts w:ascii="Arial" w:hAnsi="Arial" w:cs="Arial"/>
          <w:sz w:val="24"/>
          <w:szCs w:val="24"/>
        </w:rPr>
        <w:t xml:space="preserve">. En ese documento también se indica que </w:t>
      </w:r>
      <w:r w:rsidRPr="00BB533C">
        <w:rPr>
          <w:rFonts w:ascii="Arial" w:hAnsi="Arial" w:cs="Arial"/>
          <w:i/>
          <w:sz w:val="24"/>
          <w:szCs w:val="24"/>
        </w:rPr>
        <w:t xml:space="preserve">“Las acciones de racionalización deberán estar encaminadas a reducir: costos, tiempos, documentos, pasos, procesos, procedimientos y a generar esquemas no presenciales para su realización como el uso de correos electrónicos, internet y páginas web.” </w:t>
      </w:r>
    </w:p>
    <w:p w:rsidR="000A3009" w:rsidRPr="00BB533C" w:rsidRDefault="000A3009" w:rsidP="00BB533C">
      <w:pPr>
        <w:autoSpaceDE w:val="0"/>
        <w:autoSpaceDN w:val="0"/>
        <w:adjustRightInd w:val="0"/>
        <w:spacing w:after="0"/>
        <w:jc w:val="both"/>
        <w:rPr>
          <w:rFonts w:ascii="Arial" w:hAnsi="Arial" w:cs="Arial"/>
          <w:i/>
          <w:sz w:val="24"/>
          <w:szCs w:val="24"/>
        </w:rPr>
      </w:pPr>
    </w:p>
    <w:p w:rsidR="00450D02" w:rsidRPr="00BB533C" w:rsidRDefault="00450D02" w:rsidP="00BB533C">
      <w:pPr>
        <w:autoSpaceDE w:val="0"/>
        <w:autoSpaceDN w:val="0"/>
        <w:adjustRightInd w:val="0"/>
        <w:spacing w:after="0"/>
        <w:jc w:val="both"/>
        <w:rPr>
          <w:rFonts w:ascii="Arial" w:hAnsi="Arial" w:cs="Arial"/>
          <w:sz w:val="24"/>
          <w:szCs w:val="24"/>
        </w:rPr>
      </w:pPr>
      <w:r w:rsidRPr="00BB533C">
        <w:rPr>
          <w:rFonts w:ascii="Arial" w:hAnsi="Arial" w:cs="Arial"/>
          <w:sz w:val="24"/>
          <w:szCs w:val="24"/>
        </w:rPr>
        <w:t>Teniendo en cuenta lo anterior se puede afirmar que el servicio de atención de peticiones ciudadanas cumple con aquello que persigue el Plan Anticorrupción y de Atención al Ciudadano por las siguientes razones:</w:t>
      </w:r>
    </w:p>
    <w:p w:rsidR="00450D02" w:rsidRPr="00BB533C" w:rsidRDefault="00450D02" w:rsidP="00BB533C">
      <w:pPr>
        <w:autoSpaceDE w:val="0"/>
        <w:autoSpaceDN w:val="0"/>
        <w:adjustRightInd w:val="0"/>
        <w:spacing w:after="0"/>
        <w:jc w:val="both"/>
        <w:rPr>
          <w:rFonts w:ascii="Arial" w:hAnsi="Arial" w:cs="Arial"/>
          <w:sz w:val="24"/>
          <w:szCs w:val="24"/>
        </w:rPr>
      </w:pPr>
    </w:p>
    <w:p w:rsidR="00450D02" w:rsidRPr="00BB533C" w:rsidRDefault="00450D02" w:rsidP="00BB533C">
      <w:pPr>
        <w:pStyle w:val="Prrafodelista"/>
        <w:numPr>
          <w:ilvl w:val="0"/>
          <w:numId w:val="3"/>
        </w:numPr>
        <w:autoSpaceDE w:val="0"/>
        <w:autoSpaceDN w:val="0"/>
        <w:adjustRightInd w:val="0"/>
        <w:spacing w:after="0"/>
        <w:jc w:val="both"/>
        <w:rPr>
          <w:rFonts w:ascii="Arial" w:hAnsi="Arial" w:cs="Arial"/>
          <w:sz w:val="24"/>
          <w:szCs w:val="24"/>
        </w:rPr>
      </w:pPr>
      <w:r w:rsidRPr="00BB533C">
        <w:rPr>
          <w:rFonts w:ascii="Arial" w:hAnsi="Arial" w:cs="Arial"/>
          <w:b/>
          <w:sz w:val="24"/>
          <w:szCs w:val="24"/>
        </w:rPr>
        <w:t>Simplificación de requisitos</w:t>
      </w:r>
      <w:r w:rsidRPr="00BB533C">
        <w:rPr>
          <w:rFonts w:ascii="Arial" w:hAnsi="Arial" w:cs="Arial"/>
          <w:sz w:val="24"/>
          <w:szCs w:val="24"/>
        </w:rPr>
        <w:t xml:space="preserve">: En la actualidad, la AGR no exige a los ciudadanos requisitos distintos a los ordenados </w:t>
      </w:r>
      <w:r w:rsidR="003E7DB6" w:rsidRPr="001F270C">
        <w:rPr>
          <w:rFonts w:ascii="Arial" w:hAnsi="Arial" w:cs="Arial"/>
          <w:sz w:val="24"/>
          <w:szCs w:val="24"/>
        </w:rPr>
        <w:t>los ordenados por el artículo 16 de la Ley 1437 de 2011</w:t>
      </w:r>
      <w:r w:rsidR="003E7DB6">
        <w:rPr>
          <w:rFonts w:ascii="Arial" w:hAnsi="Arial" w:cs="Arial"/>
          <w:sz w:val="24"/>
          <w:szCs w:val="24"/>
        </w:rPr>
        <w:t xml:space="preserve">, </w:t>
      </w:r>
      <w:r w:rsidRPr="00BB533C">
        <w:rPr>
          <w:rFonts w:ascii="Arial" w:hAnsi="Arial" w:cs="Arial"/>
          <w:sz w:val="24"/>
          <w:szCs w:val="24"/>
        </w:rPr>
        <w:t xml:space="preserve">para la presentación de las diferentes modalidades del derecho de petición, los cuales constituyen elementos básicos de identificación y descripción que no representan ningún tipo de esfuerzo desproporcionado o innecesario que se traduzca en una carga injusta para los peticionarios. Adicionalmente, los ciudadanos tienen la posibilidad de presentar sus peticiones de manera anónima, lo cual reduce la cantidad de información que deben aportar para que se tramite su petición y la AGR no rechaza peticiones por considerarlas incompletas, en </w:t>
      </w:r>
      <w:r w:rsidRPr="00BB533C">
        <w:rPr>
          <w:rFonts w:ascii="Arial" w:hAnsi="Arial" w:cs="Arial"/>
          <w:sz w:val="24"/>
          <w:szCs w:val="24"/>
        </w:rPr>
        <w:lastRenderedPageBreak/>
        <w:t>estos casos se limita a cumplir lo ordenado en los artículos 15 y 17 de la Ley 1437 de 2011.</w:t>
      </w:r>
    </w:p>
    <w:p w:rsidR="00450D02" w:rsidRPr="00BB533C" w:rsidRDefault="00450D02" w:rsidP="00BB533C">
      <w:pPr>
        <w:autoSpaceDE w:val="0"/>
        <w:autoSpaceDN w:val="0"/>
        <w:adjustRightInd w:val="0"/>
        <w:spacing w:after="0"/>
        <w:jc w:val="both"/>
        <w:rPr>
          <w:rFonts w:ascii="Arial" w:hAnsi="Arial" w:cs="Arial"/>
          <w:sz w:val="24"/>
          <w:szCs w:val="24"/>
        </w:rPr>
      </w:pPr>
    </w:p>
    <w:p w:rsidR="00450D02" w:rsidRDefault="00450D02" w:rsidP="00BB533C">
      <w:pPr>
        <w:pStyle w:val="Prrafodelista"/>
        <w:numPr>
          <w:ilvl w:val="0"/>
          <w:numId w:val="3"/>
        </w:numPr>
        <w:autoSpaceDE w:val="0"/>
        <w:autoSpaceDN w:val="0"/>
        <w:adjustRightInd w:val="0"/>
        <w:spacing w:after="0"/>
        <w:jc w:val="both"/>
        <w:rPr>
          <w:rFonts w:ascii="Arial" w:hAnsi="Arial" w:cs="Arial"/>
          <w:sz w:val="24"/>
          <w:szCs w:val="24"/>
        </w:rPr>
      </w:pPr>
      <w:r w:rsidRPr="00BB533C">
        <w:rPr>
          <w:rFonts w:ascii="Arial" w:hAnsi="Arial" w:cs="Arial"/>
          <w:b/>
          <w:sz w:val="24"/>
          <w:szCs w:val="24"/>
        </w:rPr>
        <w:t>Esquemas no presenciales</w:t>
      </w:r>
      <w:r w:rsidRPr="00BB533C">
        <w:rPr>
          <w:rFonts w:ascii="Arial" w:hAnsi="Arial" w:cs="Arial"/>
          <w:sz w:val="24"/>
          <w:szCs w:val="24"/>
        </w:rPr>
        <w:t xml:space="preserve">: En la actualidad la AGR ha dispuesto distintos canales de comunicación que garantizan la presentación verbal o escrita de peticiones sin que sea necesario que los ciudadanos tengan que hacerse presentes ante la entidad para que sus peticiones sean recibidas, radicadas o tramitadas. En este sentido, la AGR pone a disposición de la ciudadanía diferentes líneas telefónicas, entre las que se encuentra la línea 018000120205, las cuales pueden utilizarse para la presentación de peticiones verbales, adicionalmente los ciudadanos cuentan con varias direcciones de correo electrónico para la presentación escrita de las mismas. </w:t>
      </w:r>
    </w:p>
    <w:p w:rsidR="003E7DB6" w:rsidRPr="003E7DB6" w:rsidRDefault="003E7DB6" w:rsidP="003E7DB6">
      <w:pPr>
        <w:pStyle w:val="Prrafodelista"/>
        <w:rPr>
          <w:rFonts w:ascii="Arial" w:hAnsi="Arial" w:cs="Arial"/>
          <w:sz w:val="24"/>
          <w:szCs w:val="24"/>
        </w:rPr>
      </w:pPr>
    </w:p>
    <w:p w:rsidR="000A3009" w:rsidRPr="00BB533C" w:rsidRDefault="00450D02" w:rsidP="00BB533C">
      <w:pPr>
        <w:pStyle w:val="Prrafodelista"/>
        <w:numPr>
          <w:ilvl w:val="0"/>
          <w:numId w:val="3"/>
        </w:numPr>
        <w:jc w:val="both"/>
        <w:rPr>
          <w:rFonts w:ascii="Arial" w:hAnsi="Arial" w:cs="Arial"/>
          <w:sz w:val="24"/>
          <w:szCs w:val="24"/>
        </w:rPr>
      </w:pPr>
      <w:r w:rsidRPr="00BB533C">
        <w:rPr>
          <w:rFonts w:ascii="Arial" w:hAnsi="Arial" w:cs="Arial"/>
          <w:b/>
          <w:sz w:val="24"/>
          <w:szCs w:val="24"/>
        </w:rPr>
        <w:t>Optimización y automatización del servicio</w:t>
      </w:r>
      <w:r w:rsidRPr="00BB533C">
        <w:rPr>
          <w:rFonts w:ascii="Arial" w:hAnsi="Arial" w:cs="Arial"/>
          <w:sz w:val="24"/>
          <w:szCs w:val="24"/>
        </w:rPr>
        <w:t xml:space="preserve">: En la actualidad la AGR cuenta con el aplicativo SIA-ATC, a través del cual el ciudadano es llevado paso a paso por un formulario de captura de datos que le permite presentar sus peticiones de manera electrónica, adicionalmente si el ciudadano informa que desea recibir las respuestas o notificaciones, a que haya lugar, en su correo electrónico, el aplicativo las remite automáticamente una vez que los funcionarios encargados del trámite las cargan para actualizar la gestión adelantada. Este instrumento también hace parte de los esquemas no presenciales de la AGR. </w:t>
      </w:r>
    </w:p>
    <w:p w:rsidR="000A3009" w:rsidRPr="00BB533C" w:rsidRDefault="000A3009" w:rsidP="00BB533C">
      <w:pPr>
        <w:pStyle w:val="Prrafodelista"/>
        <w:rPr>
          <w:rFonts w:ascii="Arial" w:hAnsi="Arial" w:cs="Arial"/>
          <w:sz w:val="24"/>
          <w:szCs w:val="24"/>
        </w:rPr>
      </w:pPr>
    </w:p>
    <w:p w:rsidR="00450D02" w:rsidRPr="00BB533C" w:rsidRDefault="00450D02" w:rsidP="00BB533C">
      <w:pPr>
        <w:jc w:val="both"/>
        <w:rPr>
          <w:rFonts w:ascii="Arial" w:hAnsi="Arial" w:cs="Arial"/>
          <w:sz w:val="24"/>
          <w:szCs w:val="24"/>
        </w:rPr>
      </w:pPr>
      <w:r w:rsidRPr="00BB533C">
        <w:rPr>
          <w:rFonts w:ascii="Arial" w:hAnsi="Arial" w:cs="Arial"/>
          <w:sz w:val="24"/>
          <w:szCs w:val="24"/>
        </w:rPr>
        <w:t>Como se puede ver, respecto del servicio de atención de peticiones, la AGR garantiza el menor costo para los ciudadanos, la mayor cantidad posible de canales de recepción y un espacio permanente de orientación y colaboración liderado por el Grupo de Participación Ciudadana; necesariamente, todos estos elementos buscan garantizar un mayor nivel de acercamiento entre la entidad y la ciudadanía, al tiempo que persiguen lograr un mayor nivel de eficiencia en la prestación del servicio. Esta conclusión se corrobora con los informes de satisfacción de usuarios 2017, 2018 y</w:t>
      </w:r>
      <w:r w:rsidR="00620232">
        <w:rPr>
          <w:rFonts w:ascii="Arial" w:hAnsi="Arial" w:cs="Arial"/>
          <w:sz w:val="24"/>
          <w:szCs w:val="24"/>
        </w:rPr>
        <w:t xml:space="preserve"> </w:t>
      </w:r>
      <w:r w:rsidR="00B24D24">
        <w:rPr>
          <w:rFonts w:ascii="Arial" w:hAnsi="Arial" w:cs="Arial"/>
          <w:sz w:val="24"/>
          <w:szCs w:val="24"/>
        </w:rPr>
        <w:t xml:space="preserve">2019, los cuales </w:t>
      </w:r>
      <w:r w:rsidRPr="00BB533C">
        <w:rPr>
          <w:rFonts w:ascii="Arial" w:hAnsi="Arial" w:cs="Arial"/>
          <w:sz w:val="24"/>
          <w:szCs w:val="24"/>
        </w:rPr>
        <w:t xml:space="preserve">se elaboraron a partir de las encuestas que se remitieron con cada respuesta de fondo que brindó la AGR y que fueron diligenciadas por los peticionarios; de acuerdo con estos documentos, la calificación obtenida es superior al estándar internacional que utiliza la AGR para evaluar los resultados de su gestión. </w:t>
      </w:r>
    </w:p>
    <w:p w:rsidR="00450D02" w:rsidRPr="00BB533C" w:rsidRDefault="00450D02" w:rsidP="00BB533C">
      <w:pPr>
        <w:pStyle w:val="Prrafodelista"/>
        <w:autoSpaceDE w:val="0"/>
        <w:autoSpaceDN w:val="0"/>
        <w:adjustRightInd w:val="0"/>
        <w:spacing w:after="0"/>
        <w:ind w:left="0"/>
        <w:jc w:val="both"/>
        <w:rPr>
          <w:rFonts w:ascii="Arial" w:hAnsi="Arial" w:cs="Arial"/>
          <w:sz w:val="24"/>
          <w:szCs w:val="24"/>
        </w:rPr>
      </w:pPr>
    </w:p>
    <w:p w:rsidR="00450D02" w:rsidRPr="00BB533C" w:rsidRDefault="00450D02" w:rsidP="00BB533C">
      <w:pPr>
        <w:autoSpaceDE w:val="0"/>
        <w:autoSpaceDN w:val="0"/>
        <w:adjustRightInd w:val="0"/>
        <w:spacing w:after="0"/>
        <w:jc w:val="both"/>
        <w:rPr>
          <w:rFonts w:ascii="Arial" w:hAnsi="Arial" w:cs="Arial"/>
          <w:sz w:val="24"/>
          <w:szCs w:val="24"/>
        </w:rPr>
      </w:pPr>
      <w:r w:rsidRPr="00BB533C">
        <w:rPr>
          <w:rFonts w:ascii="Arial" w:hAnsi="Arial" w:cs="Arial"/>
          <w:sz w:val="24"/>
          <w:szCs w:val="24"/>
        </w:rPr>
        <w:lastRenderedPageBreak/>
        <w:t xml:space="preserve">En lo que tiene que ver con las necesidades de información dirigida a más usuarios y ciudadanos (rendición de cuentas), se observa que de acuerdo con la estrategia para la construcción del Plan Anticorrupción y Atención al Ciudadano, el proceso de rendición de cuentas </w:t>
      </w:r>
      <w:r w:rsidRPr="00BB533C">
        <w:rPr>
          <w:rFonts w:ascii="Arial" w:hAnsi="Arial" w:cs="Arial"/>
          <w:i/>
          <w:sz w:val="24"/>
          <w:szCs w:val="24"/>
        </w:rPr>
        <w:t xml:space="preserve">“Más allá de ser una práctica periódica de audiencias públicas, la rendición de cuentas a la ciudadanía debe ser un ejercicio permanente y transversal que se oriente a afianzar la relación Estado – ciudadano; por tanto, la rendición de cuentas no debe ni puede ser únicamente un evento periódico y unidireccional de entrega de resultados, sino que por el contrario tiene que ser un proceso continuo y bidireccional, que genere espacios de diálogo entre el Estado y los ciudadanos sobre los asuntos públicos.”, </w:t>
      </w:r>
      <w:r w:rsidRPr="00BB533C">
        <w:rPr>
          <w:rFonts w:ascii="Arial" w:hAnsi="Arial" w:cs="Arial"/>
          <w:sz w:val="24"/>
          <w:szCs w:val="24"/>
        </w:rPr>
        <w:t xml:space="preserve">en este sentido, se puede afirmar que la AGR ha iniciado un proceso de información y comunicación de sus resultados que se orienta al cumplimiento de los objetivos señalados, porque adicionalmente a la jornada anual de rendición de cuentas, la AGR ha desarrollado otro en las Asambleas Departamentales y en los Concejos Municipales, a través del cual se informan los resultados del proceso auditor adelantado a las contralorías territoriales. </w:t>
      </w:r>
    </w:p>
    <w:p w:rsidR="00CE18E8" w:rsidRPr="00BB533C" w:rsidRDefault="00CE18E8" w:rsidP="00BB533C">
      <w:pPr>
        <w:autoSpaceDE w:val="0"/>
        <w:autoSpaceDN w:val="0"/>
        <w:adjustRightInd w:val="0"/>
        <w:spacing w:after="0"/>
        <w:jc w:val="both"/>
        <w:rPr>
          <w:rFonts w:ascii="Arial" w:eastAsia="Times New Roman" w:hAnsi="Arial" w:cs="Arial"/>
          <w:color w:val="000000"/>
          <w:sz w:val="24"/>
          <w:szCs w:val="24"/>
          <w:lang w:val="es-MX" w:eastAsia="es-MX"/>
        </w:rPr>
        <w:sectPr w:rsidR="00CE18E8" w:rsidRPr="00BB533C" w:rsidSect="002C7B0A">
          <w:headerReference w:type="even" r:id="rId9"/>
          <w:headerReference w:type="default" r:id="rId10"/>
          <w:footerReference w:type="default" r:id="rId11"/>
          <w:footerReference w:type="first" r:id="rId12"/>
          <w:pgSz w:w="12240" w:h="15840" w:code="1"/>
          <w:pgMar w:top="1418" w:right="1701" w:bottom="1418" w:left="1701" w:header="567" w:footer="567" w:gutter="0"/>
          <w:cols w:space="708"/>
          <w:docGrid w:linePitch="360"/>
        </w:sectPr>
      </w:pPr>
    </w:p>
    <w:p w:rsidR="00235552" w:rsidRPr="00BB533C" w:rsidRDefault="00235552" w:rsidP="00BB533C">
      <w:pPr>
        <w:autoSpaceDE w:val="0"/>
        <w:autoSpaceDN w:val="0"/>
        <w:adjustRightInd w:val="0"/>
        <w:spacing w:after="0"/>
        <w:jc w:val="both"/>
        <w:rPr>
          <w:rFonts w:ascii="Arial" w:hAnsi="Arial" w:cs="Arial"/>
          <w:sz w:val="24"/>
          <w:szCs w:val="24"/>
        </w:rPr>
      </w:pPr>
      <w:r w:rsidRPr="00BB533C">
        <w:rPr>
          <w:rFonts w:ascii="Arial" w:hAnsi="Arial" w:cs="Arial"/>
          <w:sz w:val="24"/>
          <w:szCs w:val="24"/>
        </w:rPr>
        <w:lastRenderedPageBreak/>
        <w:t>De acuerdo con lo señalado en el diagnóstico del servicio de atención de peticiones ciudadanas, se presenta la siguiente acción tecnológica tendiente a lograr un mayor acercamiento con la ciudadanía y a ofrecer mayores niveles de eficiencia en la gestión de sus peticiones:</w:t>
      </w:r>
    </w:p>
    <w:tbl>
      <w:tblPr>
        <w:tblW w:w="1403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20"/>
        <w:gridCol w:w="948"/>
        <w:gridCol w:w="1339"/>
        <w:gridCol w:w="1832"/>
        <w:gridCol w:w="1698"/>
        <w:gridCol w:w="1702"/>
        <w:gridCol w:w="1708"/>
        <w:gridCol w:w="1218"/>
        <w:gridCol w:w="1134"/>
        <w:gridCol w:w="1134"/>
      </w:tblGrid>
      <w:tr w:rsidR="004270C0" w:rsidRPr="001D57C0" w:rsidTr="001D57C0">
        <w:trPr>
          <w:cantSplit/>
          <w:trHeight w:val="77"/>
        </w:trPr>
        <w:tc>
          <w:tcPr>
            <w:tcW w:w="14033" w:type="dxa"/>
            <w:gridSpan w:val="10"/>
            <w:shd w:val="clear" w:color="auto" w:fill="BFBFBF" w:themeFill="background1" w:themeFillShade="BF"/>
            <w:vAlign w:val="center"/>
          </w:tcPr>
          <w:p w:rsidR="004270C0" w:rsidRPr="001D57C0" w:rsidRDefault="004270C0" w:rsidP="00BB533C">
            <w:pPr>
              <w:spacing w:after="0"/>
              <w:jc w:val="center"/>
              <w:rPr>
                <w:rFonts w:ascii="Arial" w:eastAsia="Times New Roman" w:hAnsi="Arial" w:cs="Arial"/>
                <w:b/>
                <w:color w:val="000000"/>
                <w:sz w:val="18"/>
                <w:szCs w:val="18"/>
                <w:lang w:val="es-MX" w:eastAsia="es-MX"/>
              </w:rPr>
            </w:pPr>
            <w:r w:rsidRPr="001D57C0">
              <w:rPr>
                <w:rFonts w:ascii="Arial" w:eastAsia="Times New Roman" w:hAnsi="Arial" w:cs="Arial"/>
                <w:b/>
                <w:color w:val="000000"/>
                <w:sz w:val="18"/>
                <w:szCs w:val="18"/>
                <w:lang w:val="es-MX" w:eastAsia="es-MX"/>
              </w:rPr>
              <w:t>PLANEACI</w:t>
            </w:r>
            <w:r w:rsidRPr="001D57C0">
              <w:rPr>
                <w:rFonts w:ascii="Arial" w:eastAsia="Times New Roman" w:hAnsi="Arial" w:cs="Arial"/>
                <w:b/>
                <w:color w:val="000000"/>
                <w:sz w:val="18"/>
                <w:szCs w:val="18"/>
                <w:shd w:val="clear" w:color="auto" w:fill="BFBFBF" w:themeFill="background1" w:themeFillShade="BF"/>
                <w:lang w:val="es-MX" w:eastAsia="es-MX"/>
              </w:rPr>
              <w:t>O</w:t>
            </w:r>
            <w:r w:rsidRPr="001D57C0">
              <w:rPr>
                <w:rFonts w:ascii="Arial" w:eastAsia="Times New Roman" w:hAnsi="Arial" w:cs="Arial"/>
                <w:b/>
                <w:color w:val="000000"/>
                <w:sz w:val="18"/>
                <w:szCs w:val="18"/>
                <w:lang w:val="es-MX" w:eastAsia="es-MX"/>
              </w:rPr>
              <w:t>N DE LA ESTRATEGIA DE RACIONALIZACIÓN</w:t>
            </w:r>
          </w:p>
        </w:tc>
      </w:tr>
      <w:tr w:rsidR="001D57C0" w:rsidRPr="001D57C0" w:rsidTr="001D57C0">
        <w:trPr>
          <w:cantSplit/>
          <w:trHeight w:val="77"/>
        </w:trPr>
        <w:tc>
          <w:tcPr>
            <w:tcW w:w="1320" w:type="dxa"/>
            <w:vMerge w:val="restart"/>
            <w:shd w:val="clear" w:color="auto" w:fill="BFBFBF" w:themeFill="background1" w:themeFillShade="BF"/>
            <w:vAlign w:val="center"/>
          </w:tcPr>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Trámite, proceso o procedimiento</w:t>
            </w:r>
          </w:p>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 </w:t>
            </w:r>
          </w:p>
        </w:tc>
        <w:tc>
          <w:tcPr>
            <w:tcW w:w="948" w:type="dxa"/>
            <w:vMerge w:val="restart"/>
            <w:shd w:val="clear" w:color="auto" w:fill="BFBFBF" w:themeFill="background1" w:themeFillShade="BF"/>
            <w:textDirection w:val="btLr"/>
            <w:vAlign w:val="center"/>
          </w:tcPr>
          <w:p w:rsidR="001D57C0" w:rsidRPr="001D57C0" w:rsidRDefault="001D57C0" w:rsidP="00BB533C">
            <w:pPr>
              <w:spacing w:after="0"/>
              <w:ind w:left="113" w:right="113"/>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Tipo de racionalización</w:t>
            </w:r>
          </w:p>
          <w:p w:rsidR="001D57C0" w:rsidRPr="001D57C0" w:rsidRDefault="001D57C0" w:rsidP="00BB533C">
            <w:pPr>
              <w:spacing w:after="0"/>
              <w:ind w:left="113" w:right="113"/>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 </w:t>
            </w:r>
          </w:p>
        </w:tc>
        <w:tc>
          <w:tcPr>
            <w:tcW w:w="1339" w:type="dxa"/>
            <w:vMerge w:val="restart"/>
            <w:shd w:val="clear" w:color="auto" w:fill="BFBFBF" w:themeFill="background1" w:themeFillShade="BF"/>
            <w:vAlign w:val="center"/>
          </w:tcPr>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Acción específica o de racionalización</w:t>
            </w:r>
          </w:p>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 </w:t>
            </w:r>
          </w:p>
        </w:tc>
        <w:tc>
          <w:tcPr>
            <w:tcW w:w="1832" w:type="dxa"/>
            <w:vMerge w:val="restart"/>
            <w:shd w:val="clear" w:color="auto" w:fill="BFBFBF" w:themeFill="background1" w:themeFillShade="BF"/>
            <w:vAlign w:val="center"/>
          </w:tcPr>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Situación actual</w:t>
            </w:r>
          </w:p>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 </w:t>
            </w:r>
          </w:p>
        </w:tc>
        <w:tc>
          <w:tcPr>
            <w:tcW w:w="1698" w:type="dxa"/>
            <w:vMerge w:val="restart"/>
            <w:shd w:val="clear" w:color="auto" w:fill="BFBFBF" w:themeFill="background1" w:themeFillShade="BF"/>
            <w:vAlign w:val="center"/>
          </w:tcPr>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Descripción de la mejora a realizar al trámite, proceso o procedimiento</w:t>
            </w:r>
          </w:p>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 </w:t>
            </w:r>
          </w:p>
        </w:tc>
        <w:tc>
          <w:tcPr>
            <w:tcW w:w="1702" w:type="dxa"/>
            <w:vMerge w:val="restart"/>
            <w:shd w:val="clear" w:color="auto" w:fill="BFBFBF" w:themeFill="background1" w:themeFillShade="BF"/>
            <w:vAlign w:val="center"/>
          </w:tcPr>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 xml:space="preserve">Beneficio al ciudadano y/o entidad </w:t>
            </w:r>
          </w:p>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 </w:t>
            </w:r>
          </w:p>
        </w:tc>
        <w:tc>
          <w:tcPr>
            <w:tcW w:w="1708" w:type="dxa"/>
            <w:vMerge w:val="restart"/>
            <w:shd w:val="clear" w:color="auto" w:fill="BFBFBF" w:themeFill="background1" w:themeFillShade="BF"/>
            <w:vAlign w:val="center"/>
          </w:tcPr>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Recursos y fuente de recursos</w:t>
            </w:r>
          </w:p>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 </w:t>
            </w:r>
          </w:p>
        </w:tc>
        <w:tc>
          <w:tcPr>
            <w:tcW w:w="1218" w:type="dxa"/>
            <w:vMerge w:val="restart"/>
            <w:shd w:val="clear" w:color="auto" w:fill="BFBFBF" w:themeFill="background1" w:themeFillShade="BF"/>
            <w:vAlign w:val="center"/>
          </w:tcPr>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Responsable</w:t>
            </w:r>
          </w:p>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 </w:t>
            </w:r>
          </w:p>
        </w:tc>
        <w:tc>
          <w:tcPr>
            <w:tcW w:w="2268" w:type="dxa"/>
            <w:gridSpan w:val="2"/>
            <w:shd w:val="clear" w:color="auto" w:fill="BFBFBF" w:themeFill="background1" w:themeFillShade="BF"/>
            <w:vAlign w:val="center"/>
          </w:tcPr>
          <w:p w:rsidR="001D57C0" w:rsidRDefault="001D57C0" w:rsidP="00BB533C">
            <w:pPr>
              <w:spacing w:after="0"/>
              <w:jc w:val="center"/>
              <w:rPr>
                <w:rFonts w:ascii="Arial" w:eastAsia="Times New Roman" w:hAnsi="Arial" w:cs="Arial"/>
                <w:color w:val="000000"/>
                <w:sz w:val="18"/>
                <w:szCs w:val="18"/>
                <w:lang w:val="es-MX" w:eastAsia="es-MX"/>
              </w:rPr>
            </w:pPr>
          </w:p>
          <w:p w:rsidR="001D57C0" w:rsidRDefault="001D57C0" w:rsidP="00BB533C">
            <w:pPr>
              <w:spacing w:after="0"/>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F</w:t>
            </w:r>
            <w:r w:rsidRPr="001D57C0">
              <w:rPr>
                <w:rFonts w:ascii="Arial" w:eastAsia="Times New Roman" w:hAnsi="Arial" w:cs="Arial"/>
                <w:color w:val="000000"/>
                <w:sz w:val="18"/>
                <w:szCs w:val="18"/>
                <w:lang w:val="es-MX" w:eastAsia="es-MX"/>
              </w:rPr>
              <w:t>echa programada</w:t>
            </w:r>
          </w:p>
          <w:p w:rsidR="001D57C0" w:rsidRPr="001D57C0" w:rsidRDefault="001D57C0" w:rsidP="00BB533C">
            <w:pPr>
              <w:spacing w:after="0"/>
              <w:jc w:val="center"/>
              <w:rPr>
                <w:rFonts w:ascii="Arial" w:eastAsia="Times New Roman" w:hAnsi="Arial" w:cs="Arial"/>
                <w:color w:val="000000"/>
                <w:sz w:val="18"/>
                <w:szCs w:val="18"/>
                <w:lang w:val="es-MX" w:eastAsia="es-MX"/>
              </w:rPr>
            </w:pPr>
          </w:p>
        </w:tc>
      </w:tr>
      <w:tr w:rsidR="001D57C0" w:rsidRPr="001D57C0" w:rsidTr="001D57C0">
        <w:trPr>
          <w:cantSplit/>
          <w:trHeight w:val="734"/>
        </w:trPr>
        <w:tc>
          <w:tcPr>
            <w:tcW w:w="1320" w:type="dxa"/>
            <w:vMerge/>
            <w:shd w:val="clear" w:color="auto" w:fill="BFBFBF" w:themeFill="background1" w:themeFillShade="BF"/>
            <w:vAlign w:val="center"/>
            <w:hideMark/>
          </w:tcPr>
          <w:p w:rsidR="001D57C0" w:rsidRPr="001D57C0" w:rsidRDefault="001D57C0" w:rsidP="00BB533C">
            <w:pPr>
              <w:spacing w:after="0"/>
              <w:jc w:val="center"/>
              <w:rPr>
                <w:rFonts w:ascii="Arial" w:eastAsia="Times New Roman" w:hAnsi="Arial" w:cs="Arial"/>
                <w:color w:val="000000"/>
                <w:sz w:val="18"/>
                <w:szCs w:val="18"/>
                <w:lang w:val="es-MX" w:eastAsia="es-MX"/>
              </w:rPr>
            </w:pPr>
          </w:p>
        </w:tc>
        <w:tc>
          <w:tcPr>
            <w:tcW w:w="948" w:type="dxa"/>
            <w:vMerge/>
            <w:shd w:val="clear" w:color="auto" w:fill="BFBFBF" w:themeFill="background1" w:themeFillShade="BF"/>
            <w:textDirection w:val="btLr"/>
            <w:vAlign w:val="center"/>
            <w:hideMark/>
          </w:tcPr>
          <w:p w:rsidR="001D57C0" w:rsidRPr="001D57C0" w:rsidRDefault="001D57C0" w:rsidP="00BB533C">
            <w:pPr>
              <w:spacing w:after="0"/>
              <w:ind w:left="113" w:right="113"/>
              <w:jc w:val="center"/>
              <w:rPr>
                <w:rFonts w:ascii="Arial" w:eastAsia="Times New Roman" w:hAnsi="Arial" w:cs="Arial"/>
                <w:color w:val="000000"/>
                <w:sz w:val="18"/>
                <w:szCs w:val="18"/>
                <w:lang w:val="es-MX" w:eastAsia="es-MX"/>
              </w:rPr>
            </w:pPr>
          </w:p>
        </w:tc>
        <w:tc>
          <w:tcPr>
            <w:tcW w:w="1339" w:type="dxa"/>
            <w:vMerge/>
            <w:shd w:val="clear" w:color="auto" w:fill="BFBFBF" w:themeFill="background1" w:themeFillShade="BF"/>
            <w:vAlign w:val="center"/>
            <w:hideMark/>
          </w:tcPr>
          <w:p w:rsidR="001D57C0" w:rsidRPr="001D57C0" w:rsidRDefault="001D57C0" w:rsidP="00BB533C">
            <w:pPr>
              <w:spacing w:after="0"/>
              <w:jc w:val="center"/>
              <w:rPr>
                <w:rFonts w:ascii="Arial" w:eastAsia="Times New Roman" w:hAnsi="Arial" w:cs="Arial"/>
                <w:color w:val="000000"/>
                <w:sz w:val="18"/>
                <w:szCs w:val="18"/>
                <w:lang w:val="es-MX" w:eastAsia="es-MX"/>
              </w:rPr>
            </w:pPr>
          </w:p>
        </w:tc>
        <w:tc>
          <w:tcPr>
            <w:tcW w:w="1832" w:type="dxa"/>
            <w:vMerge/>
            <w:shd w:val="clear" w:color="auto" w:fill="BFBFBF" w:themeFill="background1" w:themeFillShade="BF"/>
            <w:vAlign w:val="center"/>
            <w:hideMark/>
          </w:tcPr>
          <w:p w:rsidR="001D57C0" w:rsidRPr="001D57C0" w:rsidRDefault="001D57C0" w:rsidP="00BB533C">
            <w:pPr>
              <w:spacing w:after="0"/>
              <w:jc w:val="center"/>
              <w:rPr>
                <w:rFonts w:ascii="Arial" w:eastAsia="Times New Roman" w:hAnsi="Arial" w:cs="Arial"/>
                <w:color w:val="000000"/>
                <w:sz w:val="18"/>
                <w:szCs w:val="18"/>
                <w:lang w:val="es-MX" w:eastAsia="es-MX"/>
              </w:rPr>
            </w:pPr>
          </w:p>
        </w:tc>
        <w:tc>
          <w:tcPr>
            <w:tcW w:w="1698" w:type="dxa"/>
            <w:vMerge/>
            <w:shd w:val="clear" w:color="auto" w:fill="BFBFBF" w:themeFill="background1" w:themeFillShade="BF"/>
            <w:vAlign w:val="center"/>
            <w:hideMark/>
          </w:tcPr>
          <w:p w:rsidR="001D57C0" w:rsidRPr="001D57C0" w:rsidRDefault="001D57C0" w:rsidP="00BB533C">
            <w:pPr>
              <w:spacing w:after="0"/>
              <w:jc w:val="center"/>
              <w:rPr>
                <w:rFonts w:ascii="Arial" w:eastAsia="Times New Roman" w:hAnsi="Arial" w:cs="Arial"/>
                <w:color w:val="000000"/>
                <w:sz w:val="18"/>
                <w:szCs w:val="18"/>
                <w:lang w:val="es-MX" w:eastAsia="es-MX"/>
              </w:rPr>
            </w:pPr>
          </w:p>
        </w:tc>
        <w:tc>
          <w:tcPr>
            <w:tcW w:w="1702" w:type="dxa"/>
            <w:vMerge/>
            <w:shd w:val="clear" w:color="auto" w:fill="BFBFBF" w:themeFill="background1" w:themeFillShade="BF"/>
            <w:vAlign w:val="center"/>
            <w:hideMark/>
          </w:tcPr>
          <w:p w:rsidR="001D57C0" w:rsidRPr="001D57C0" w:rsidRDefault="001D57C0" w:rsidP="00BB533C">
            <w:pPr>
              <w:spacing w:after="0"/>
              <w:jc w:val="center"/>
              <w:rPr>
                <w:rFonts w:ascii="Arial" w:eastAsia="Times New Roman" w:hAnsi="Arial" w:cs="Arial"/>
                <w:color w:val="000000"/>
                <w:sz w:val="18"/>
                <w:szCs w:val="18"/>
                <w:lang w:val="es-MX" w:eastAsia="es-MX"/>
              </w:rPr>
            </w:pPr>
          </w:p>
        </w:tc>
        <w:tc>
          <w:tcPr>
            <w:tcW w:w="1708" w:type="dxa"/>
            <w:vMerge/>
            <w:shd w:val="clear" w:color="auto" w:fill="BFBFBF" w:themeFill="background1" w:themeFillShade="BF"/>
            <w:vAlign w:val="center"/>
            <w:hideMark/>
          </w:tcPr>
          <w:p w:rsidR="001D57C0" w:rsidRPr="001D57C0" w:rsidRDefault="001D57C0" w:rsidP="00BB533C">
            <w:pPr>
              <w:spacing w:after="0"/>
              <w:jc w:val="center"/>
              <w:rPr>
                <w:rFonts w:ascii="Arial" w:eastAsia="Times New Roman" w:hAnsi="Arial" w:cs="Arial"/>
                <w:color w:val="000000"/>
                <w:sz w:val="18"/>
                <w:szCs w:val="18"/>
                <w:lang w:val="es-MX" w:eastAsia="es-MX"/>
              </w:rPr>
            </w:pPr>
          </w:p>
        </w:tc>
        <w:tc>
          <w:tcPr>
            <w:tcW w:w="1218" w:type="dxa"/>
            <w:vMerge/>
            <w:shd w:val="clear" w:color="auto" w:fill="BFBFBF" w:themeFill="background1" w:themeFillShade="BF"/>
            <w:vAlign w:val="center"/>
            <w:hideMark/>
          </w:tcPr>
          <w:p w:rsidR="001D57C0" w:rsidRPr="001D57C0" w:rsidRDefault="001D57C0" w:rsidP="00BB533C">
            <w:pPr>
              <w:spacing w:after="0"/>
              <w:jc w:val="center"/>
              <w:rPr>
                <w:rFonts w:ascii="Arial" w:eastAsia="Times New Roman" w:hAnsi="Arial" w:cs="Arial"/>
                <w:color w:val="000000"/>
                <w:sz w:val="18"/>
                <w:szCs w:val="18"/>
                <w:lang w:val="es-MX" w:eastAsia="es-MX"/>
              </w:rPr>
            </w:pPr>
          </w:p>
        </w:tc>
        <w:tc>
          <w:tcPr>
            <w:tcW w:w="1134" w:type="dxa"/>
            <w:shd w:val="clear" w:color="auto" w:fill="BFBFBF" w:themeFill="background1" w:themeFillShade="BF"/>
            <w:vAlign w:val="center"/>
            <w:hideMark/>
          </w:tcPr>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Inicio</w:t>
            </w:r>
          </w:p>
        </w:tc>
        <w:tc>
          <w:tcPr>
            <w:tcW w:w="1134" w:type="dxa"/>
            <w:shd w:val="clear" w:color="auto" w:fill="BFBFBF" w:themeFill="background1" w:themeFillShade="BF"/>
            <w:vAlign w:val="center"/>
            <w:hideMark/>
          </w:tcPr>
          <w:p w:rsidR="001D57C0" w:rsidRPr="001D57C0" w:rsidRDefault="001D57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Fin</w:t>
            </w:r>
          </w:p>
        </w:tc>
      </w:tr>
      <w:tr w:rsidR="004270C0" w:rsidRPr="001D57C0" w:rsidTr="004270C0">
        <w:trPr>
          <w:cantSplit/>
          <w:trHeight w:val="5136"/>
        </w:trPr>
        <w:tc>
          <w:tcPr>
            <w:tcW w:w="1320" w:type="dxa"/>
            <w:shd w:val="clear" w:color="auto" w:fill="auto"/>
            <w:vAlign w:val="center"/>
            <w:hideMark/>
          </w:tcPr>
          <w:p w:rsidR="004270C0" w:rsidRPr="001D57C0" w:rsidRDefault="004270C0" w:rsidP="00BB533C">
            <w:pPr>
              <w:spacing w:after="0"/>
              <w:jc w:val="both"/>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Atención de Peticiones Ciudadanas</w:t>
            </w:r>
          </w:p>
        </w:tc>
        <w:tc>
          <w:tcPr>
            <w:tcW w:w="948" w:type="dxa"/>
            <w:shd w:val="clear" w:color="auto" w:fill="auto"/>
            <w:textDirection w:val="btLr"/>
            <w:vAlign w:val="center"/>
            <w:hideMark/>
          </w:tcPr>
          <w:p w:rsidR="004270C0" w:rsidRPr="001D57C0" w:rsidRDefault="004270C0" w:rsidP="00BB533C">
            <w:pPr>
              <w:spacing w:after="0"/>
              <w:ind w:left="113" w:right="113"/>
              <w:jc w:val="both"/>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 xml:space="preserve">                                                 Tecnológica</w:t>
            </w:r>
          </w:p>
        </w:tc>
        <w:tc>
          <w:tcPr>
            <w:tcW w:w="1339" w:type="dxa"/>
            <w:shd w:val="clear" w:color="auto" w:fill="auto"/>
            <w:vAlign w:val="center"/>
            <w:hideMark/>
          </w:tcPr>
          <w:p w:rsidR="004270C0" w:rsidRPr="001D57C0" w:rsidRDefault="004270C0" w:rsidP="00B24D24">
            <w:pPr>
              <w:spacing w:after="0"/>
              <w:jc w:val="both"/>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Continuar, tanto con el proceso de actualización al aplicativo SIA-ATC, como con el de su transferencia a las Contralorías Territoriales.</w:t>
            </w:r>
          </w:p>
        </w:tc>
        <w:tc>
          <w:tcPr>
            <w:tcW w:w="1832" w:type="dxa"/>
            <w:shd w:val="clear" w:color="auto" w:fill="auto"/>
            <w:vAlign w:val="center"/>
            <w:hideMark/>
          </w:tcPr>
          <w:p w:rsidR="004270C0" w:rsidRPr="001D57C0" w:rsidRDefault="004270C0" w:rsidP="00BB533C">
            <w:pPr>
              <w:spacing w:after="0"/>
              <w:jc w:val="both"/>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Durante el año 2019 se llevaron a cabo diversas actualizaciones en el aplicativo SIA-ATC para mejorar su rendimiento, entre ellas cabe destacar su reprogramación en un lenguaje de mayor seguridad y sobre el cual la AGR puede garantizar la actualización permanente de sus librerías, sin embargo, se requiere avanzar en el proceso de mejora continua de sus funcionalidades y productos.</w:t>
            </w:r>
          </w:p>
        </w:tc>
        <w:tc>
          <w:tcPr>
            <w:tcW w:w="1698" w:type="dxa"/>
            <w:shd w:val="clear" w:color="auto" w:fill="auto"/>
            <w:vAlign w:val="center"/>
            <w:hideMark/>
          </w:tcPr>
          <w:p w:rsidR="004270C0" w:rsidRPr="001D57C0" w:rsidRDefault="004270C0" w:rsidP="00BB533C">
            <w:pPr>
              <w:spacing w:after="0"/>
              <w:jc w:val="both"/>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Realizar todas las mejoras que se identifiquen como necesarias para un mejor funcionamiento del aplicativo y para brindar mejor servicio a la ciudadanía</w:t>
            </w:r>
          </w:p>
        </w:tc>
        <w:tc>
          <w:tcPr>
            <w:tcW w:w="1702" w:type="dxa"/>
            <w:shd w:val="clear" w:color="auto" w:fill="auto"/>
            <w:vAlign w:val="center"/>
            <w:hideMark/>
          </w:tcPr>
          <w:p w:rsidR="004270C0" w:rsidRPr="001D57C0" w:rsidRDefault="004270C0" w:rsidP="00BB533C">
            <w:pPr>
              <w:spacing w:after="0"/>
              <w:jc w:val="both"/>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Las mejoras representan para el ciudadano la posibilidad de contar con un aplicativo que le garantice enlaces directos de interacción institucional e información cierta y oportuna de la gestión adelantada para atender los derechos de petición por parte de la AGR y de las Contralorías a la cuales se les transfiera la herramienta.</w:t>
            </w:r>
          </w:p>
        </w:tc>
        <w:tc>
          <w:tcPr>
            <w:tcW w:w="1708" w:type="dxa"/>
            <w:shd w:val="clear" w:color="auto" w:fill="auto"/>
            <w:vAlign w:val="center"/>
            <w:hideMark/>
          </w:tcPr>
          <w:p w:rsidR="004270C0" w:rsidRPr="001D57C0" w:rsidRDefault="004270C0" w:rsidP="00BB533C">
            <w:pPr>
              <w:spacing w:after="0"/>
              <w:jc w:val="both"/>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Recursos: $ 50.000.000</w:t>
            </w:r>
            <w:r w:rsidRPr="001D57C0">
              <w:rPr>
                <w:rFonts w:ascii="Arial" w:eastAsia="Times New Roman" w:hAnsi="Arial" w:cs="Arial"/>
                <w:color w:val="000000"/>
                <w:sz w:val="18"/>
                <w:szCs w:val="18"/>
                <w:lang w:val="es-MX" w:eastAsia="es-MX"/>
              </w:rPr>
              <w:br/>
              <w:t xml:space="preserve">Fuente: Recurso del tesoro, </w:t>
            </w:r>
          </w:p>
          <w:p w:rsidR="004270C0" w:rsidRPr="001D57C0" w:rsidRDefault="004270C0" w:rsidP="00BB533C">
            <w:pPr>
              <w:spacing w:after="0"/>
              <w:jc w:val="both"/>
              <w:rPr>
                <w:rFonts w:ascii="Arial" w:eastAsia="Times New Roman" w:hAnsi="Arial" w:cs="Arial"/>
                <w:color w:val="000000"/>
                <w:sz w:val="18"/>
                <w:szCs w:val="18"/>
                <w:lang w:val="es-MX" w:eastAsia="es-MX"/>
              </w:rPr>
            </w:pPr>
          </w:p>
          <w:p w:rsidR="004270C0" w:rsidRPr="001D57C0" w:rsidRDefault="004270C0" w:rsidP="00BB533C">
            <w:pPr>
              <w:spacing w:after="0"/>
              <w:jc w:val="both"/>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 xml:space="preserve">Proyecto de inversión </w:t>
            </w:r>
          </w:p>
          <w:p w:rsidR="004270C0" w:rsidRPr="001D57C0" w:rsidRDefault="004270C0" w:rsidP="00BB533C">
            <w:pPr>
              <w:spacing w:after="0"/>
              <w:jc w:val="both"/>
              <w:rPr>
                <w:rFonts w:ascii="Arial" w:eastAsia="Times New Roman" w:hAnsi="Arial" w:cs="Arial"/>
                <w:color w:val="000000"/>
                <w:sz w:val="18"/>
                <w:szCs w:val="18"/>
                <w:lang w:val="es-MX" w:eastAsia="es-MX"/>
              </w:rPr>
            </w:pPr>
          </w:p>
          <w:p w:rsidR="004270C0" w:rsidRPr="001D57C0" w:rsidRDefault="004270C0" w:rsidP="00BB533C">
            <w:pPr>
              <w:spacing w:after="0"/>
              <w:jc w:val="both"/>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 xml:space="preserve">Fortalecimiento de la gestión de la información y las tic que soportan el control fiscal nacional </w:t>
            </w:r>
          </w:p>
        </w:tc>
        <w:tc>
          <w:tcPr>
            <w:tcW w:w="1218" w:type="dxa"/>
            <w:shd w:val="clear" w:color="auto" w:fill="auto"/>
            <w:vAlign w:val="center"/>
            <w:hideMark/>
          </w:tcPr>
          <w:p w:rsidR="004270C0" w:rsidRPr="001D57C0" w:rsidRDefault="004270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Oficina de Planeación</w:t>
            </w:r>
          </w:p>
        </w:tc>
        <w:tc>
          <w:tcPr>
            <w:tcW w:w="1134" w:type="dxa"/>
            <w:shd w:val="clear" w:color="auto" w:fill="auto"/>
            <w:vAlign w:val="center"/>
            <w:hideMark/>
          </w:tcPr>
          <w:p w:rsidR="004270C0" w:rsidRPr="001D57C0" w:rsidRDefault="004270C0" w:rsidP="00620232">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0</w:t>
            </w:r>
            <w:r w:rsidR="00620232">
              <w:rPr>
                <w:rFonts w:ascii="Arial" w:eastAsia="Times New Roman" w:hAnsi="Arial" w:cs="Arial"/>
                <w:color w:val="000000"/>
                <w:sz w:val="18"/>
                <w:szCs w:val="18"/>
                <w:lang w:val="es-MX" w:eastAsia="es-MX"/>
              </w:rPr>
              <w:t>3</w:t>
            </w:r>
            <w:r w:rsidRPr="001D57C0">
              <w:rPr>
                <w:rFonts w:ascii="Arial" w:eastAsia="Times New Roman" w:hAnsi="Arial" w:cs="Arial"/>
                <w:color w:val="000000"/>
                <w:sz w:val="18"/>
                <w:szCs w:val="18"/>
                <w:lang w:val="es-MX" w:eastAsia="es-MX"/>
              </w:rPr>
              <w:t>/02/2020</w:t>
            </w:r>
          </w:p>
        </w:tc>
        <w:tc>
          <w:tcPr>
            <w:tcW w:w="1134" w:type="dxa"/>
            <w:shd w:val="clear" w:color="auto" w:fill="auto"/>
            <w:vAlign w:val="center"/>
            <w:hideMark/>
          </w:tcPr>
          <w:p w:rsidR="004270C0" w:rsidRPr="001D57C0" w:rsidRDefault="004270C0" w:rsidP="00BB533C">
            <w:pPr>
              <w:spacing w:after="0"/>
              <w:jc w:val="center"/>
              <w:rPr>
                <w:rFonts w:ascii="Arial" w:eastAsia="Times New Roman" w:hAnsi="Arial" w:cs="Arial"/>
                <w:color w:val="000000"/>
                <w:sz w:val="18"/>
                <w:szCs w:val="18"/>
                <w:lang w:val="es-MX" w:eastAsia="es-MX"/>
              </w:rPr>
            </w:pPr>
            <w:r w:rsidRPr="001D57C0">
              <w:rPr>
                <w:rFonts w:ascii="Arial" w:eastAsia="Times New Roman" w:hAnsi="Arial" w:cs="Arial"/>
                <w:color w:val="000000"/>
                <w:sz w:val="18"/>
                <w:szCs w:val="18"/>
                <w:lang w:val="es-MX" w:eastAsia="es-MX"/>
              </w:rPr>
              <w:t>31/12/2020</w:t>
            </w:r>
          </w:p>
        </w:tc>
      </w:tr>
    </w:tbl>
    <w:p w:rsidR="00235552" w:rsidRPr="00BB533C" w:rsidRDefault="00235552" w:rsidP="00077DC6">
      <w:pPr>
        <w:autoSpaceDE w:val="0"/>
        <w:autoSpaceDN w:val="0"/>
        <w:adjustRightInd w:val="0"/>
        <w:rPr>
          <w:rFonts w:ascii="Arial" w:hAnsi="Arial" w:cs="Arial"/>
          <w:color w:val="FF0000"/>
          <w:sz w:val="24"/>
          <w:szCs w:val="24"/>
        </w:rPr>
        <w:sectPr w:rsidR="00235552" w:rsidRPr="00BB533C" w:rsidSect="00CE18E8">
          <w:pgSz w:w="15840" w:h="12240" w:orient="landscape" w:code="1"/>
          <w:pgMar w:top="1701" w:right="1418" w:bottom="1701" w:left="1418" w:header="567" w:footer="567" w:gutter="0"/>
          <w:cols w:space="708"/>
          <w:docGrid w:linePitch="360"/>
        </w:sectPr>
      </w:pPr>
    </w:p>
    <w:p w:rsidR="00074368" w:rsidRDefault="00074368" w:rsidP="00BB533C">
      <w:pPr>
        <w:pStyle w:val="Ttulo1"/>
        <w:rPr>
          <w:rFonts w:cs="Arial"/>
          <w:sz w:val="24"/>
          <w:szCs w:val="24"/>
        </w:rPr>
      </w:pPr>
      <w:bookmarkStart w:id="2" w:name="_Toc30598397"/>
    </w:p>
    <w:p w:rsidR="00074368" w:rsidRDefault="00074368" w:rsidP="00BB533C">
      <w:pPr>
        <w:pStyle w:val="Ttulo1"/>
        <w:rPr>
          <w:rFonts w:cs="Arial"/>
          <w:sz w:val="24"/>
          <w:szCs w:val="24"/>
        </w:rPr>
      </w:pPr>
    </w:p>
    <w:p w:rsidR="00074368" w:rsidRDefault="00074368" w:rsidP="00BB533C">
      <w:pPr>
        <w:pStyle w:val="Ttulo1"/>
        <w:rPr>
          <w:rFonts w:cs="Arial"/>
          <w:sz w:val="24"/>
          <w:szCs w:val="24"/>
        </w:rPr>
      </w:pPr>
    </w:p>
    <w:p w:rsidR="00FC6EB2" w:rsidRPr="00FC6EB2" w:rsidRDefault="00FC6EB2" w:rsidP="00FC6EB2"/>
    <w:p w:rsidR="00167464" w:rsidRDefault="00167464" w:rsidP="00FC6EB2">
      <w:pPr>
        <w:tabs>
          <w:tab w:val="left" w:pos="5651"/>
        </w:tabs>
        <w:jc w:val="center"/>
        <w:rPr>
          <w:rFonts w:ascii="Arial" w:hAnsi="Arial" w:cs="Arial"/>
          <w:b/>
          <w:sz w:val="28"/>
          <w:szCs w:val="24"/>
        </w:rPr>
      </w:pPr>
    </w:p>
    <w:p w:rsidR="00167464" w:rsidRDefault="00167464" w:rsidP="00FC6EB2">
      <w:pPr>
        <w:tabs>
          <w:tab w:val="left" w:pos="5651"/>
        </w:tabs>
        <w:jc w:val="center"/>
        <w:rPr>
          <w:rFonts w:ascii="Arial" w:hAnsi="Arial" w:cs="Arial"/>
          <w:b/>
          <w:sz w:val="28"/>
          <w:szCs w:val="24"/>
        </w:rPr>
      </w:pPr>
    </w:p>
    <w:bookmarkEnd w:id="2"/>
    <w:p w:rsidR="00167464" w:rsidRDefault="00167464" w:rsidP="00FC6EB2">
      <w:pPr>
        <w:tabs>
          <w:tab w:val="left" w:pos="5651"/>
        </w:tabs>
        <w:jc w:val="center"/>
        <w:rPr>
          <w:rFonts w:ascii="Arial" w:hAnsi="Arial" w:cs="Arial"/>
          <w:b/>
          <w:sz w:val="28"/>
          <w:szCs w:val="24"/>
        </w:rPr>
      </w:pPr>
    </w:p>
    <w:sectPr w:rsidR="00167464" w:rsidSect="00077DC6">
      <w:pgSz w:w="12240" w:h="15840" w:code="1"/>
      <w:pgMar w:top="1276" w:right="1701"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3D" w:rsidRDefault="001F7C3D" w:rsidP="004A05BF">
      <w:pPr>
        <w:spacing w:after="0" w:line="240" w:lineRule="auto"/>
      </w:pPr>
      <w:r>
        <w:separator/>
      </w:r>
    </w:p>
  </w:endnote>
  <w:endnote w:type="continuationSeparator" w:id="0">
    <w:p w:rsidR="001F7C3D" w:rsidRDefault="001F7C3D" w:rsidP="004A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519964"/>
      <w:docPartObj>
        <w:docPartGallery w:val="Page Numbers (Bottom of Page)"/>
        <w:docPartUnique/>
      </w:docPartObj>
    </w:sdtPr>
    <w:sdtEndPr/>
    <w:sdtContent>
      <w:p w:rsidR="00582330" w:rsidRDefault="00582330">
        <w:pPr>
          <w:pStyle w:val="Piedepgina"/>
          <w:jc w:val="right"/>
        </w:pPr>
        <w:r>
          <w:fldChar w:fldCharType="begin"/>
        </w:r>
        <w:r>
          <w:instrText>PAGE   \* MERGEFORMAT</w:instrText>
        </w:r>
        <w:r>
          <w:fldChar w:fldCharType="separate"/>
        </w:r>
        <w:r w:rsidR="004F7E0D" w:rsidRPr="004F7E0D">
          <w:rPr>
            <w:noProof/>
            <w:lang w:val="es-ES"/>
          </w:rPr>
          <w:t>1</w:t>
        </w:r>
        <w:r>
          <w:fldChar w:fldCharType="end"/>
        </w:r>
      </w:p>
    </w:sdtContent>
  </w:sdt>
  <w:p w:rsidR="00582330" w:rsidRDefault="005823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67330"/>
      <w:docPartObj>
        <w:docPartGallery w:val="Page Numbers (Bottom of Page)"/>
        <w:docPartUnique/>
      </w:docPartObj>
    </w:sdtPr>
    <w:sdtEndPr/>
    <w:sdtContent>
      <w:p w:rsidR="00582330" w:rsidRDefault="00582330">
        <w:pPr>
          <w:pStyle w:val="Piedepgina"/>
          <w:jc w:val="right"/>
        </w:pPr>
        <w:r>
          <w:fldChar w:fldCharType="begin"/>
        </w:r>
        <w:r>
          <w:instrText>PAGE   \* MERGEFORMAT</w:instrText>
        </w:r>
        <w:r>
          <w:fldChar w:fldCharType="separate"/>
        </w:r>
        <w:r w:rsidRPr="00E219F0">
          <w:rPr>
            <w:noProof/>
            <w:lang w:val="es-ES"/>
          </w:rPr>
          <w:t>2</w:t>
        </w:r>
        <w:r>
          <w:fldChar w:fldCharType="end"/>
        </w:r>
      </w:p>
    </w:sdtContent>
  </w:sdt>
  <w:p w:rsidR="00582330" w:rsidRDefault="005823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3D" w:rsidRDefault="001F7C3D" w:rsidP="004A05BF">
      <w:pPr>
        <w:spacing w:after="0" w:line="240" w:lineRule="auto"/>
      </w:pPr>
      <w:r>
        <w:separator/>
      </w:r>
    </w:p>
  </w:footnote>
  <w:footnote w:type="continuationSeparator" w:id="0">
    <w:p w:rsidR="001F7C3D" w:rsidRDefault="001F7C3D" w:rsidP="004A0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30" w:rsidRDefault="001F7C3D">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517797" o:spid="_x0000_s2049" type="#_x0000_t75" style="position:absolute;margin-left:0;margin-top:0;width:612pt;height:11in;z-index:-251658752;mso-position-horizontal:center;mso-position-horizontal-relative:margin;mso-position-vertical:center;mso-position-vertical-relative:margin" o:allowincell="f">
          <v:imagedata r:id="rId1" o:title="AGRip-Payac_2018-Portada2-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30" w:rsidRDefault="00B24D24" w:rsidP="00B24D24">
    <w:pPr>
      <w:pStyle w:val="Encabezado"/>
      <w:jc w:val="center"/>
    </w:pPr>
    <w:r>
      <w:rPr>
        <w:noProof/>
        <w:lang w:eastAsia="es-CO"/>
      </w:rPr>
      <w:drawing>
        <wp:inline distT="0" distB="0" distL="0" distR="0" wp14:anchorId="579D2EBC" wp14:editId="569FA378">
          <wp:extent cx="3571875" cy="1045028"/>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90942" cy="1050606"/>
                  </a:xfrm>
                  <a:prstGeom prst="rect">
                    <a:avLst/>
                  </a:prstGeom>
                  <a:effectLst>
                    <a:softEdge rad="6350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6.5pt" o:bullet="t">
        <v:imagedata r:id="rId1" o:title="auditoria daniel"/>
      </v:shape>
    </w:pict>
  </w:numPicBullet>
  <w:numPicBullet w:numPicBulletId="1">
    <w:pict>
      <v:shape id="_x0000_i1037" type="#_x0000_t75" style="width:11.25pt;height:11.25pt" o:bullet="t">
        <v:imagedata r:id="rId2" o:title=""/>
      </v:shape>
    </w:pict>
  </w:numPicBullet>
  <w:abstractNum w:abstractNumId="0">
    <w:nsid w:val="063E3AFC"/>
    <w:multiLevelType w:val="multilevel"/>
    <w:tmpl w:val="ED0696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27B3C8A"/>
    <w:multiLevelType w:val="hybridMultilevel"/>
    <w:tmpl w:val="60FC27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7516F3"/>
    <w:multiLevelType w:val="hybridMultilevel"/>
    <w:tmpl w:val="1532643A"/>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3">
    <w:nsid w:val="1DA91E78"/>
    <w:multiLevelType w:val="hybridMultilevel"/>
    <w:tmpl w:val="F8E88AA4"/>
    <w:lvl w:ilvl="0" w:tplc="240A0001">
      <w:start w:val="1"/>
      <w:numFmt w:val="bullet"/>
      <w:lvlText w:val=""/>
      <w:lvlJc w:val="left"/>
      <w:pPr>
        <w:ind w:left="578" w:hanging="360"/>
      </w:pPr>
      <w:rPr>
        <w:rFonts w:ascii="Symbol" w:hAnsi="Symbol" w:hint="default"/>
      </w:rPr>
    </w:lvl>
    <w:lvl w:ilvl="1" w:tplc="240A0003">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4">
    <w:nsid w:val="1EB24206"/>
    <w:multiLevelType w:val="hybridMultilevel"/>
    <w:tmpl w:val="F3163F20"/>
    <w:lvl w:ilvl="0" w:tplc="A494575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23D13577"/>
    <w:multiLevelType w:val="multilevel"/>
    <w:tmpl w:val="845AE5D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519576A"/>
    <w:multiLevelType w:val="hybridMultilevel"/>
    <w:tmpl w:val="68CE183A"/>
    <w:lvl w:ilvl="0" w:tplc="AD949E90">
      <w:numFmt w:val="bullet"/>
      <w:lvlText w:val="-"/>
      <w:lvlJc w:val="left"/>
      <w:pPr>
        <w:ind w:left="720" w:hanging="360"/>
      </w:pPr>
      <w:rPr>
        <w:rFonts w:ascii="LiberationSerif" w:eastAsiaTheme="minorHAnsi" w:hAnsi="LiberationSerif" w:cs="LiberationSerif"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7D5A97"/>
    <w:multiLevelType w:val="hybridMultilevel"/>
    <w:tmpl w:val="7E1ED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75B0394"/>
    <w:multiLevelType w:val="multilevel"/>
    <w:tmpl w:val="CF1C11D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886568E"/>
    <w:multiLevelType w:val="hybridMultilevel"/>
    <w:tmpl w:val="9168B88C"/>
    <w:lvl w:ilvl="0" w:tplc="738C24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2E0D37"/>
    <w:multiLevelType w:val="hybridMultilevel"/>
    <w:tmpl w:val="2564E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BA2B92"/>
    <w:multiLevelType w:val="hybridMultilevel"/>
    <w:tmpl w:val="657CA156"/>
    <w:lvl w:ilvl="0" w:tplc="A0A8C8E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0196050"/>
    <w:multiLevelType w:val="hybridMultilevel"/>
    <w:tmpl w:val="1366AD4E"/>
    <w:lvl w:ilvl="0" w:tplc="D90C3D1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DC87365"/>
    <w:multiLevelType w:val="hybridMultilevel"/>
    <w:tmpl w:val="58DC60EC"/>
    <w:lvl w:ilvl="0" w:tplc="CE087CC6">
      <w:start w:val="1"/>
      <w:numFmt w:val="bullet"/>
      <w:lvlText w:val="•"/>
      <w:lvlJc w:val="left"/>
      <w:pPr>
        <w:tabs>
          <w:tab w:val="num" w:pos="720"/>
        </w:tabs>
        <w:ind w:left="720" w:hanging="360"/>
      </w:pPr>
      <w:rPr>
        <w:rFonts w:ascii="Arial" w:hAnsi="Arial" w:hint="default"/>
      </w:rPr>
    </w:lvl>
    <w:lvl w:ilvl="1" w:tplc="2638ABF0" w:tentative="1">
      <w:start w:val="1"/>
      <w:numFmt w:val="bullet"/>
      <w:lvlText w:val="•"/>
      <w:lvlJc w:val="left"/>
      <w:pPr>
        <w:tabs>
          <w:tab w:val="num" w:pos="1440"/>
        </w:tabs>
        <w:ind w:left="1440" w:hanging="360"/>
      </w:pPr>
      <w:rPr>
        <w:rFonts w:ascii="Arial" w:hAnsi="Arial" w:hint="default"/>
      </w:rPr>
    </w:lvl>
    <w:lvl w:ilvl="2" w:tplc="C7E4F57A" w:tentative="1">
      <w:start w:val="1"/>
      <w:numFmt w:val="bullet"/>
      <w:lvlText w:val="•"/>
      <w:lvlJc w:val="left"/>
      <w:pPr>
        <w:tabs>
          <w:tab w:val="num" w:pos="2160"/>
        </w:tabs>
        <w:ind w:left="2160" w:hanging="360"/>
      </w:pPr>
      <w:rPr>
        <w:rFonts w:ascii="Arial" w:hAnsi="Arial" w:hint="default"/>
      </w:rPr>
    </w:lvl>
    <w:lvl w:ilvl="3" w:tplc="FB0A3636" w:tentative="1">
      <w:start w:val="1"/>
      <w:numFmt w:val="bullet"/>
      <w:lvlText w:val="•"/>
      <w:lvlJc w:val="left"/>
      <w:pPr>
        <w:tabs>
          <w:tab w:val="num" w:pos="2880"/>
        </w:tabs>
        <w:ind w:left="2880" w:hanging="360"/>
      </w:pPr>
      <w:rPr>
        <w:rFonts w:ascii="Arial" w:hAnsi="Arial" w:hint="default"/>
      </w:rPr>
    </w:lvl>
    <w:lvl w:ilvl="4" w:tplc="23CEEE2A" w:tentative="1">
      <w:start w:val="1"/>
      <w:numFmt w:val="bullet"/>
      <w:lvlText w:val="•"/>
      <w:lvlJc w:val="left"/>
      <w:pPr>
        <w:tabs>
          <w:tab w:val="num" w:pos="3600"/>
        </w:tabs>
        <w:ind w:left="3600" w:hanging="360"/>
      </w:pPr>
      <w:rPr>
        <w:rFonts w:ascii="Arial" w:hAnsi="Arial" w:hint="default"/>
      </w:rPr>
    </w:lvl>
    <w:lvl w:ilvl="5" w:tplc="8AD6D03C" w:tentative="1">
      <w:start w:val="1"/>
      <w:numFmt w:val="bullet"/>
      <w:lvlText w:val="•"/>
      <w:lvlJc w:val="left"/>
      <w:pPr>
        <w:tabs>
          <w:tab w:val="num" w:pos="4320"/>
        </w:tabs>
        <w:ind w:left="4320" w:hanging="360"/>
      </w:pPr>
      <w:rPr>
        <w:rFonts w:ascii="Arial" w:hAnsi="Arial" w:hint="default"/>
      </w:rPr>
    </w:lvl>
    <w:lvl w:ilvl="6" w:tplc="32D8E2CE" w:tentative="1">
      <w:start w:val="1"/>
      <w:numFmt w:val="bullet"/>
      <w:lvlText w:val="•"/>
      <w:lvlJc w:val="left"/>
      <w:pPr>
        <w:tabs>
          <w:tab w:val="num" w:pos="5040"/>
        </w:tabs>
        <w:ind w:left="5040" w:hanging="360"/>
      </w:pPr>
      <w:rPr>
        <w:rFonts w:ascii="Arial" w:hAnsi="Arial" w:hint="default"/>
      </w:rPr>
    </w:lvl>
    <w:lvl w:ilvl="7" w:tplc="BA086014" w:tentative="1">
      <w:start w:val="1"/>
      <w:numFmt w:val="bullet"/>
      <w:lvlText w:val="•"/>
      <w:lvlJc w:val="left"/>
      <w:pPr>
        <w:tabs>
          <w:tab w:val="num" w:pos="5760"/>
        </w:tabs>
        <w:ind w:left="5760" w:hanging="360"/>
      </w:pPr>
      <w:rPr>
        <w:rFonts w:ascii="Arial" w:hAnsi="Arial" w:hint="default"/>
      </w:rPr>
    </w:lvl>
    <w:lvl w:ilvl="8" w:tplc="7C7C048C" w:tentative="1">
      <w:start w:val="1"/>
      <w:numFmt w:val="bullet"/>
      <w:lvlText w:val="•"/>
      <w:lvlJc w:val="left"/>
      <w:pPr>
        <w:tabs>
          <w:tab w:val="num" w:pos="6480"/>
        </w:tabs>
        <w:ind w:left="6480" w:hanging="360"/>
      </w:pPr>
      <w:rPr>
        <w:rFonts w:ascii="Arial" w:hAnsi="Arial" w:hint="default"/>
      </w:rPr>
    </w:lvl>
  </w:abstractNum>
  <w:abstractNum w:abstractNumId="14">
    <w:nsid w:val="44A07077"/>
    <w:multiLevelType w:val="hybridMultilevel"/>
    <w:tmpl w:val="A052E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ACD4D46"/>
    <w:multiLevelType w:val="hybridMultilevel"/>
    <w:tmpl w:val="90B4B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EDD2D41"/>
    <w:multiLevelType w:val="hybridMultilevel"/>
    <w:tmpl w:val="ACF83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1CC4B36"/>
    <w:multiLevelType w:val="hybridMultilevel"/>
    <w:tmpl w:val="179E473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2F44DC"/>
    <w:multiLevelType w:val="hybridMultilevel"/>
    <w:tmpl w:val="61C2E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4BA2E08"/>
    <w:multiLevelType w:val="hybridMultilevel"/>
    <w:tmpl w:val="24368D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8811856"/>
    <w:multiLevelType w:val="hybridMultilevel"/>
    <w:tmpl w:val="0616B97C"/>
    <w:lvl w:ilvl="0" w:tplc="D90C3D1C">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99B5EE8"/>
    <w:multiLevelType w:val="hybridMultilevel"/>
    <w:tmpl w:val="8F4270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4F42057"/>
    <w:multiLevelType w:val="hybridMultilevel"/>
    <w:tmpl w:val="C1DE1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C4D19C9"/>
    <w:multiLevelType w:val="hybridMultilevel"/>
    <w:tmpl w:val="EFC88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C973482"/>
    <w:multiLevelType w:val="hybridMultilevel"/>
    <w:tmpl w:val="0D5A7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F8F1628"/>
    <w:multiLevelType w:val="hybridMultilevel"/>
    <w:tmpl w:val="67185F2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6">
    <w:nsid w:val="6FB30792"/>
    <w:multiLevelType w:val="hybridMultilevel"/>
    <w:tmpl w:val="A68E3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7930CA4"/>
    <w:multiLevelType w:val="hybridMultilevel"/>
    <w:tmpl w:val="3E1C3E7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83E4246"/>
    <w:multiLevelType w:val="multilevel"/>
    <w:tmpl w:val="798419E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B122CF6"/>
    <w:multiLevelType w:val="hybridMultilevel"/>
    <w:tmpl w:val="C48A53D0"/>
    <w:lvl w:ilvl="0" w:tplc="D90C3D1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6"/>
  </w:num>
  <w:num w:numId="4">
    <w:abstractNumId w:val="4"/>
  </w:num>
  <w:num w:numId="5">
    <w:abstractNumId w:val="9"/>
  </w:num>
  <w:num w:numId="6">
    <w:abstractNumId w:val="7"/>
  </w:num>
  <w:num w:numId="7">
    <w:abstractNumId w:val="2"/>
  </w:num>
  <w:num w:numId="8">
    <w:abstractNumId w:val="22"/>
  </w:num>
  <w:num w:numId="9">
    <w:abstractNumId w:val="11"/>
  </w:num>
  <w:num w:numId="10">
    <w:abstractNumId w:val="17"/>
  </w:num>
  <w:num w:numId="11">
    <w:abstractNumId w:val="29"/>
  </w:num>
  <w:num w:numId="12">
    <w:abstractNumId w:val="18"/>
  </w:num>
  <w:num w:numId="13">
    <w:abstractNumId w:val="20"/>
  </w:num>
  <w:num w:numId="14">
    <w:abstractNumId w:val="12"/>
  </w:num>
  <w:num w:numId="15">
    <w:abstractNumId w:val="24"/>
  </w:num>
  <w:num w:numId="16">
    <w:abstractNumId w:val="21"/>
  </w:num>
  <w:num w:numId="17">
    <w:abstractNumId w:val="10"/>
  </w:num>
  <w:num w:numId="18">
    <w:abstractNumId w:val="13"/>
  </w:num>
  <w:num w:numId="19">
    <w:abstractNumId w:val="3"/>
  </w:num>
  <w:num w:numId="20">
    <w:abstractNumId w:val="1"/>
  </w:num>
  <w:num w:numId="21">
    <w:abstractNumId w:val="0"/>
  </w:num>
  <w:num w:numId="22">
    <w:abstractNumId w:val="16"/>
  </w:num>
  <w:num w:numId="23">
    <w:abstractNumId w:val="28"/>
  </w:num>
  <w:num w:numId="24">
    <w:abstractNumId w:val="15"/>
  </w:num>
  <w:num w:numId="25">
    <w:abstractNumId w:val="19"/>
  </w:num>
  <w:num w:numId="26">
    <w:abstractNumId w:val="23"/>
  </w:num>
  <w:num w:numId="27">
    <w:abstractNumId w:val="25"/>
  </w:num>
  <w:num w:numId="28">
    <w:abstractNumId w:val="6"/>
  </w:num>
  <w:num w:numId="29">
    <w:abstractNumId w:val="8"/>
  </w:num>
  <w:num w:numId="30">
    <w:abstractNumId w:val="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C2"/>
    <w:rsid w:val="00004D3E"/>
    <w:rsid w:val="00005795"/>
    <w:rsid w:val="00011E07"/>
    <w:rsid w:val="0001385F"/>
    <w:rsid w:val="000146C2"/>
    <w:rsid w:val="0001556D"/>
    <w:rsid w:val="000422EC"/>
    <w:rsid w:val="000603D0"/>
    <w:rsid w:val="0006451D"/>
    <w:rsid w:val="00074368"/>
    <w:rsid w:val="00077ACC"/>
    <w:rsid w:val="00077DC6"/>
    <w:rsid w:val="00080131"/>
    <w:rsid w:val="00082EC3"/>
    <w:rsid w:val="00085209"/>
    <w:rsid w:val="000A3009"/>
    <w:rsid w:val="000C057D"/>
    <w:rsid w:val="000C6434"/>
    <w:rsid w:val="000D5AFB"/>
    <w:rsid w:val="000F4CD9"/>
    <w:rsid w:val="000F6C57"/>
    <w:rsid w:val="000F7EE2"/>
    <w:rsid w:val="0010090D"/>
    <w:rsid w:val="00102435"/>
    <w:rsid w:val="00114384"/>
    <w:rsid w:val="00132758"/>
    <w:rsid w:val="00136DD0"/>
    <w:rsid w:val="00140F00"/>
    <w:rsid w:val="00142053"/>
    <w:rsid w:val="0014767D"/>
    <w:rsid w:val="001629AD"/>
    <w:rsid w:val="00164166"/>
    <w:rsid w:val="00167464"/>
    <w:rsid w:val="00167956"/>
    <w:rsid w:val="00175D45"/>
    <w:rsid w:val="00183FA1"/>
    <w:rsid w:val="0019225C"/>
    <w:rsid w:val="001944A8"/>
    <w:rsid w:val="001A3E90"/>
    <w:rsid w:val="001B7302"/>
    <w:rsid w:val="001D57C0"/>
    <w:rsid w:val="001D6745"/>
    <w:rsid w:val="001E057F"/>
    <w:rsid w:val="001E49A3"/>
    <w:rsid w:val="001E5DF4"/>
    <w:rsid w:val="001F270C"/>
    <w:rsid w:val="001F7C3D"/>
    <w:rsid w:val="00202441"/>
    <w:rsid w:val="002045B7"/>
    <w:rsid w:val="00211DA9"/>
    <w:rsid w:val="00222C53"/>
    <w:rsid w:val="002331E9"/>
    <w:rsid w:val="002344AF"/>
    <w:rsid w:val="00235552"/>
    <w:rsid w:val="00244CC7"/>
    <w:rsid w:val="00250B5D"/>
    <w:rsid w:val="00263D29"/>
    <w:rsid w:val="00266A19"/>
    <w:rsid w:val="00273A63"/>
    <w:rsid w:val="00274480"/>
    <w:rsid w:val="00286BCF"/>
    <w:rsid w:val="002918F1"/>
    <w:rsid w:val="002A5097"/>
    <w:rsid w:val="002C0AEB"/>
    <w:rsid w:val="002C15D4"/>
    <w:rsid w:val="002C45B0"/>
    <w:rsid w:val="002C7B0A"/>
    <w:rsid w:val="002D4443"/>
    <w:rsid w:val="002E2FB9"/>
    <w:rsid w:val="002F29AA"/>
    <w:rsid w:val="002F3B0D"/>
    <w:rsid w:val="002F6033"/>
    <w:rsid w:val="00301844"/>
    <w:rsid w:val="00303568"/>
    <w:rsid w:val="00305D19"/>
    <w:rsid w:val="00322816"/>
    <w:rsid w:val="00327CB6"/>
    <w:rsid w:val="00332184"/>
    <w:rsid w:val="00345F33"/>
    <w:rsid w:val="0035063D"/>
    <w:rsid w:val="003524E0"/>
    <w:rsid w:val="00353B34"/>
    <w:rsid w:val="00374006"/>
    <w:rsid w:val="00385E09"/>
    <w:rsid w:val="00391C8C"/>
    <w:rsid w:val="003A2077"/>
    <w:rsid w:val="003A229B"/>
    <w:rsid w:val="003B0523"/>
    <w:rsid w:val="003B142F"/>
    <w:rsid w:val="003B1C73"/>
    <w:rsid w:val="003B291D"/>
    <w:rsid w:val="003C47A0"/>
    <w:rsid w:val="003C7E79"/>
    <w:rsid w:val="003E7DB6"/>
    <w:rsid w:val="003F4761"/>
    <w:rsid w:val="004270C0"/>
    <w:rsid w:val="004272A0"/>
    <w:rsid w:val="00433D1C"/>
    <w:rsid w:val="00434754"/>
    <w:rsid w:val="00441348"/>
    <w:rsid w:val="00450D02"/>
    <w:rsid w:val="00454553"/>
    <w:rsid w:val="00467A4D"/>
    <w:rsid w:val="00470C8D"/>
    <w:rsid w:val="00473924"/>
    <w:rsid w:val="00490B65"/>
    <w:rsid w:val="00491220"/>
    <w:rsid w:val="00491BE6"/>
    <w:rsid w:val="004A05BF"/>
    <w:rsid w:val="004A4602"/>
    <w:rsid w:val="004A4B54"/>
    <w:rsid w:val="004A4C1F"/>
    <w:rsid w:val="004A5B5F"/>
    <w:rsid w:val="004B0585"/>
    <w:rsid w:val="004F5DD4"/>
    <w:rsid w:val="004F7E0D"/>
    <w:rsid w:val="005118EF"/>
    <w:rsid w:val="005307CC"/>
    <w:rsid w:val="00553C5B"/>
    <w:rsid w:val="00554E00"/>
    <w:rsid w:val="005552C5"/>
    <w:rsid w:val="00562E39"/>
    <w:rsid w:val="0056674B"/>
    <w:rsid w:val="00571A43"/>
    <w:rsid w:val="00582330"/>
    <w:rsid w:val="00593920"/>
    <w:rsid w:val="0059554C"/>
    <w:rsid w:val="005A3A52"/>
    <w:rsid w:val="005B39A3"/>
    <w:rsid w:val="005F3669"/>
    <w:rsid w:val="005F3E40"/>
    <w:rsid w:val="00605EA2"/>
    <w:rsid w:val="006101A4"/>
    <w:rsid w:val="00616B3E"/>
    <w:rsid w:val="00617569"/>
    <w:rsid w:val="00620232"/>
    <w:rsid w:val="006213E2"/>
    <w:rsid w:val="00623424"/>
    <w:rsid w:val="00625F89"/>
    <w:rsid w:val="006314C9"/>
    <w:rsid w:val="0064061E"/>
    <w:rsid w:val="006515C1"/>
    <w:rsid w:val="0065593B"/>
    <w:rsid w:val="00666099"/>
    <w:rsid w:val="006A49B0"/>
    <w:rsid w:val="006C1636"/>
    <w:rsid w:val="006C1AA0"/>
    <w:rsid w:val="00723955"/>
    <w:rsid w:val="0074318D"/>
    <w:rsid w:val="007467DA"/>
    <w:rsid w:val="0075038C"/>
    <w:rsid w:val="007515E7"/>
    <w:rsid w:val="00753D66"/>
    <w:rsid w:val="00753F77"/>
    <w:rsid w:val="00754162"/>
    <w:rsid w:val="00757C7C"/>
    <w:rsid w:val="00760FF7"/>
    <w:rsid w:val="00771127"/>
    <w:rsid w:val="00771321"/>
    <w:rsid w:val="00775142"/>
    <w:rsid w:val="00782E30"/>
    <w:rsid w:val="00784F4F"/>
    <w:rsid w:val="007921D3"/>
    <w:rsid w:val="007A134F"/>
    <w:rsid w:val="007A70BF"/>
    <w:rsid w:val="007D241C"/>
    <w:rsid w:val="007D2AE7"/>
    <w:rsid w:val="007E28D3"/>
    <w:rsid w:val="007E3AA3"/>
    <w:rsid w:val="007F4C3C"/>
    <w:rsid w:val="007F55D4"/>
    <w:rsid w:val="008055E8"/>
    <w:rsid w:val="00805AAB"/>
    <w:rsid w:val="00805B3C"/>
    <w:rsid w:val="00811654"/>
    <w:rsid w:val="0083120A"/>
    <w:rsid w:val="00834B8A"/>
    <w:rsid w:val="00847D95"/>
    <w:rsid w:val="00854D0D"/>
    <w:rsid w:val="008556F4"/>
    <w:rsid w:val="0085632D"/>
    <w:rsid w:val="00856354"/>
    <w:rsid w:val="0086153F"/>
    <w:rsid w:val="00863634"/>
    <w:rsid w:val="008724FE"/>
    <w:rsid w:val="00882BBD"/>
    <w:rsid w:val="0089338C"/>
    <w:rsid w:val="008A54B7"/>
    <w:rsid w:val="008B2306"/>
    <w:rsid w:val="008B6439"/>
    <w:rsid w:val="008B6889"/>
    <w:rsid w:val="008C3924"/>
    <w:rsid w:val="008C4668"/>
    <w:rsid w:val="008C58C0"/>
    <w:rsid w:val="008D64D5"/>
    <w:rsid w:val="008E0FD1"/>
    <w:rsid w:val="008E1099"/>
    <w:rsid w:val="008E19A2"/>
    <w:rsid w:val="008F20AF"/>
    <w:rsid w:val="008F22B1"/>
    <w:rsid w:val="00934012"/>
    <w:rsid w:val="0095265A"/>
    <w:rsid w:val="0099680B"/>
    <w:rsid w:val="009B68EC"/>
    <w:rsid w:val="009E107E"/>
    <w:rsid w:val="009E3710"/>
    <w:rsid w:val="009E47A3"/>
    <w:rsid w:val="00A0034A"/>
    <w:rsid w:val="00A07501"/>
    <w:rsid w:val="00A34B41"/>
    <w:rsid w:val="00A37D87"/>
    <w:rsid w:val="00A46916"/>
    <w:rsid w:val="00A47CDD"/>
    <w:rsid w:val="00A61855"/>
    <w:rsid w:val="00A62B80"/>
    <w:rsid w:val="00A6697E"/>
    <w:rsid w:val="00A72F77"/>
    <w:rsid w:val="00A7512A"/>
    <w:rsid w:val="00A75FC5"/>
    <w:rsid w:val="00A80138"/>
    <w:rsid w:val="00A8030D"/>
    <w:rsid w:val="00A8374C"/>
    <w:rsid w:val="00A84443"/>
    <w:rsid w:val="00A91A99"/>
    <w:rsid w:val="00AA0095"/>
    <w:rsid w:val="00AA4B60"/>
    <w:rsid w:val="00AA5FBF"/>
    <w:rsid w:val="00AC5B44"/>
    <w:rsid w:val="00AE2544"/>
    <w:rsid w:val="00AE52D9"/>
    <w:rsid w:val="00AE7520"/>
    <w:rsid w:val="00AF0435"/>
    <w:rsid w:val="00AF1AD4"/>
    <w:rsid w:val="00B075FE"/>
    <w:rsid w:val="00B24D24"/>
    <w:rsid w:val="00B253C5"/>
    <w:rsid w:val="00B3507E"/>
    <w:rsid w:val="00B35240"/>
    <w:rsid w:val="00B3786B"/>
    <w:rsid w:val="00B4267D"/>
    <w:rsid w:val="00B616C2"/>
    <w:rsid w:val="00B61EA5"/>
    <w:rsid w:val="00B63844"/>
    <w:rsid w:val="00B711E1"/>
    <w:rsid w:val="00B85CD4"/>
    <w:rsid w:val="00B9612E"/>
    <w:rsid w:val="00BB277A"/>
    <w:rsid w:val="00BB533C"/>
    <w:rsid w:val="00BC0791"/>
    <w:rsid w:val="00BD42E4"/>
    <w:rsid w:val="00BD4F41"/>
    <w:rsid w:val="00BE5932"/>
    <w:rsid w:val="00BE6991"/>
    <w:rsid w:val="00C056C9"/>
    <w:rsid w:val="00C1125C"/>
    <w:rsid w:val="00C12CD6"/>
    <w:rsid w:val="00C14324"/>
    <w:rsid w:val="00C21000"/>
    <w:rsid w:val="00C23003"/>
    <w:rsid w:val="00C30614"/>
    <w:rsid w:val="00C336D5"/>
    <w:rsid w:val="00C472D9"/>
    <w:rsid w:val="00C67421"/>
    <w:rsid w:val="00C75789"/>
    <w:rsid w:val="00C912A3"/>
    <w:rsid w:val="00CA34B0"/>
    <w:rsid w:val="00CA4985"/>
    <w:rsid w:val="00CB517A"/>
    <w:rsid w:val="00CB7E28"/>
    <w:rsid w:val="00CC22C3"/>
    <w:rsid w:val="00CC760A"/>
    <w:rsid w:val="00CD7FCC"/>
    <w:rsid w:val="00CE18E8"/>
    <w:rsid w:val="00D05314"/>
    <w:rsid w:val="00D06EF3"/>
    <w:rsid w:val="00D1095D"/>
    <w:rsid w:val="00D203C4"/>
    <w:rsid w:val="00D21432"/>
    <w:rsid w:val="00D22DF6"/>
    <w:rsid w:val="00D271A4"/>
    <w:rsid w:val="00D27382"/>
    <w:rsid w:val="00D31CA2"/>
    <w:rsid w:val="00D3384A"/>
    <w:rsid w:val="00D44E36"/>
    <w:rsid w:val="00D53C07"/>
    <w:rsid w:val="00D55986"/>
    <w:rsid w:val="00D567F8"/>
    <w:rsid w:val="00D86410"/>
    <w:rsid w:val="00D90C42"/>
    <w:rsid w:val="00D910D2"/>
    <w:rsid w:val="00DB0088"/>
    <w:rsid w:val="00DB451B"/>
    <w:rsid w:val="00DE3DF9"/>
    <w:rsid w:val="00DE4120"/>
    <w:rsid w:val="00DE5BDD"/>
    <w:rsid w:val="00DF019C"/>
    <w:rsid w:val="00DF3658"/>
    <w:rsid w:val="00E00296"/>
    <w:rsid w:val="00E012A3"/>
    <w:rsid w:val="00E030F7"/>
    <w:rsid w:val="00E102D6"/>
    <w:rsid w:val="00E11B28"/>
    <w:rsid w:val="00E214E0"/>
    <w:rsid w:val="00E27834"/>
    <w:rsid w:val="00E55DD7"/>
    <w:rsid w:val="00E6074D"/>
    <w:rsid w:val="00E66AF1"/>
    <w:rsid w:val="00E67A89"/>
    <w:rsid w:val="00E70512"/>
    <w:rsid w:val="00E724BA"/>
    <w:rsid w:val="00E75842"/>
    <w:rsid w:val="00E7688F"/>
    <w:rsid w:val="00E8338C"/>
    <w:rsid w:val="00E97D0D"/>
    <w:rsid w:val="00EA00BB"/>
    <w:rsid w:val="00EA21C4"/>
    <w:rsid w:val="00EB451B"/>
    <w:rsid w:val="00EB7478"/>
    <w:rsid w:val="00EC5129"/>
    <w:rsid w:val="00EC7645"/>
    <w:rsid w:val="00ED2656"/>
    <w:rsid w:val="00ED37A1"/>
    <w:rsid w:val="00ED6929"/>
    <w:rsid w:val="00F073C2"/>
    <w:rsid w:val="00F159F8"/>
    <w:rsid w:val="00F31963"/>
    <w:rsid w:val="00F47FE6"/>
    <w:rsid w:val="00F76FDC"/>
    <w:rsid w:val="00F8024D"/>
    <w:rsid w:val="00F93BAB"/>
    <w:rsid w:val="00F95899"/>
    <w:rsid w:val="00FC2110"/>
    <w:rsid w:val="00FC6EB2"/>
    <w:rsid w:val="00FD295B"/>
    <w:rsid w:val="00FE1319"/>
    <w:rsid w:val="00FE7A5F"/>
    <w:rsid w:val="00FF4F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05BF"/>
    <w:pPr>
      <w:keepNext/>
      <w:keepLines/>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4A05BF"/>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next w:val="Normal"/>
    <w:link w:val="Ttulo3Car"/>
    <w:uiPriority w:val="9"/>
    <w:unhideWhenUsed/>
    <w:qFormat/>
    <w:rsid w:val="004A05BF"/>
    <w:pPr>
      <w:keepNext/>
      <w:keepLines/>
      <w:spacing w:before="200" w:after="0"/>
      <w:outlineLvl w:val="2"/>
    </w:pPr>
    <w:rPr>
      <w:rFonts w:ascii="Arial" w:eastAsiaTheme="majorEastAsia" w:hAnsi="Arial" w:cstheme="majorBidi"/>
      <w:b/>
      <w:bCs/>
      <w:sz w:val="24"/>
    </w:rPr>
  </w:style>
  <w:style w:type="paragraph" w:styleId="Ttulo4">
    <w:name w:val="heading 4"/>
    <w:basedOn w:val="Normal"/>
    <w:next w:val="Normal"/>
    <w:link w:val="Ttulo4Car"/>
    <w:uiPriority w:val="9"/>
    <w:unhideWhenUsed/>
    <w:qFormat/>
    <w:rsid w:val="004A05B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9AD"/>
    <w:pPr>
      <w:ind w:left="720"/>
      <w:contextualSpacing/>
    </w:pPr>
  </w:style>
  <w:style w:type="paragraph" w:customStyle="1" w:styleId="Default">
    <w:name w:val="Default"/>
    <w:rsid w:val="00D5598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D5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E59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932"/>
    <w:rPr>
      <w:rFonts w:ascii="Tahoma" w:hAnsi="Tahoma" w:cs="Tahoma"/>
      <w:sz w:val="16"/>
      <w:szCs w:val="16"/>
    </w:rPr>
  </w:style>
  <w:style w:type="character" w:customStyle="1" w:styleId="Ttulo1Car">
    <w:name w:val="Título 1 Car"/>
    <w:basedOn w:val="Fuentedeprrafopredeter"/>
    <w:link w:val="Ttulo1"/>
    <w:uiPriority w:val="9"/>
    <w:rsid w:val="004A05BF"/>
    <w:rPr>
      <w:rFonts w:ascii="Arial" w:eastAsiaTheme="majorEastAsia" w:hAnsi="Arial" w:cstheme="majorBidi"/>
      <w:b/>
      <w:bCs/>
      <w:sz w:val="28"/>
      <w:szCs w:val="28"/>
    </w:rPr>
  </w:style>
  <w:style w:type="character" w:customStyle="1" w:styleId="Ttulo2Car">
    <w:name w:val="Título 2 Car"/>
    <w:basedOn w:val="Fuentedeprrafopredeter"/>
    <w:link w:val="Ttulo2"/>
    <w:uiPriority w:val="9"/>
    <w:rsid w:val="004A05BF"/>
    <w:rPr>
      <w:rFonts w:ascii="Arial" w:eastAsiaTheme="majorEastAsia" w:hAnsi="Arial" w:cstheme="majorBidi"/>
      <w:b/>
      <w:bCs/>
      <w:sz w:val="26"/>
      <w:szCs w:val="26"/>
    </w:rPr>
  </w:style>
  <w:style w:type="character" w:customStyle="1" w:styleId="Ttulo3Car">
    <w:name w:val="Título 3 Car"/>
    <w:basedOn w:val="Fuentedeprrafopredeter"/>
    <w:link w:val="Ttulo3"/>
    <w:uiPriority w:val="9"/>
    <w:rsid w:val="004A05BF"/>
    <w:rPr>
      <w:rFonts w:ascii="Arial" w:eastAsiaTheme="majorEastAsia" w:hAnsi="Arial" w:cstheme="majorBidi"/>
      <w:b/>
      <w:bCs/>
      <w:sz w:val="24"/>
    </w:rPr>
  </w:style>
  <w:style w:type="character" w:customStyle="1" w:styleId="Ttulo4Car">
    <w:name w:val="Título 4 Car"/>
    <w:basedOn w:val="Fuentedeprrafopredeter"/>
    <w:link w:val="Ttulo4"/>
    <w:uiPriority w:val="9"/>
    <w:rsid w:val="004A05BF"/>
    <w:rPr>
      <w:rFonts w:asciiTheme="majorHAnsi" w:eastAsiaTheme="majorEastAsia" w:hAnsiTheme="majorHAnsi" w:cstheme="majorBidi"/>
      <w:b/>
      <w:bCs/>
      <w:i/>
      <w:iCs/>
      <w:color w:val="4F81BD" w:themeColor="accent1"/>
      <w:sz w:val="24"/>
    </w:rPr>
  </w:style>
  <w:style w:type="paragraph" w:styleId="TtulodeTDC">
    <w:name w:val="TOC Heading"/>
    <w:basedOn w:val="Ttulo1"/>
    <w:next w:val="Normal"/>
    <w:uiPriority w:val="39"/>
    <w:semiHidden/>
    <w:unhideWhenUsed/>
    <w:qFormat/>
    <w:rsid w:val="004A05BF"/>
    <w:pPr>
      <w:outlineLvl w:val="9"/>
    </w:pPr>
    <w:rPr>
      <w:lang w:eastAsia="es-CO"/>
    </w:rPr>
  </w:style>
  <w:style w:type="paragraph" w:styleId="TDC1">
    <w:name w:val="toc 1"/>
    <w:basedOn w:val="Normal"/>
    <w:next w:val="Normal"/>
    <w:autoRedefine/>
    <w:uiPriority w:val="39"/>
    <w:unhideWhenUsed/>
    <w:qFormat/>
    <w:rsid w:val="004A05BF"/>
    <w:pPr>
      <w:spacing w:after="100"/>
    </w:pPr>
    <w:rPr>
      <w:rFonts w:ascii="Arial" w:hAnsi="Arial"/>
      <w:sz w:val="24"/>
    </w:rPr>
  </w:style>
  <w:style w:type="character" w:styleId="Hipervnculo">
    <w:name w:val="Hyperlink"/>
    <w:basedOn w:val="Fuentedeprrafopredeter"/>
    <w:uiPriority w:val="99"/>
    <w:unhideWhenUsed/>
    <w:rsid w:val="004A05BF"/>
    <w:rPr>
      <w:color w:val="0000FF" w:themeColor="hyperlink"/>
      <w:u w:val="single"/>
    </w:rPr>
  </w:style>
  <w:style w:type="paragraph" w:styleId="TDC2">
    <w:name w:val="toc 2"/>
    <w:basedOn w:val="Normal"/>
    <w:next w:val="Normal"/>
    <w:autoRedefine/>
    <w:uiPriority w:val="39"/>
    <w:unhideWhenUsed/>
    <w:qFormat/>
    <w:rsid w:val="004A05BF"/>
    <w:pPr>
      <w:spacing w:after="100"/>
      <w:ind w:left="220"/>
    </w:pPr>
    <w:rPr>
      <w:rFonts w:ascii="Arial" w:hAnsi="Arial"/>
      <w:sz w:val="24"/>
    </w:rPr>
  </w:style>
  <w:style w:type="paragraph" w:styleId="TDC3">
    <w:name w:val="toc 3"/>
    <w:basedOn w:val="Normal"/>
    <w:next w:val="Normal"/>
    <w:autoRedefine/>
    <w:uiPriority w:val="39"/>
    <w:unhideWhenUsed/>
    <w:qFormat/>
    <w:rsid w:val="004A05BF"/>
    <w:pPr>
      <w:tabs>
        <w:tab w:val="right" w:leader="dot" w:pos="8828"/>
      </w:tabs>
      <w:spacing w:after="100"/>
      <w:ind w:left="440"/>
      <w:jc w:val="both"/>
    </w:pPr>
    <w:rPr>
      <w:rFonts w:ascii="Arial" w:hAnsi="Arial"/>
      <w:sz w:val="24"/>
    </w:rPr>
  </w:style>
  <w:style w:type="paragraph" w:styleId="Encabezado">
    <w:name w:val="header"/>
    <w:basedOn w:val="Normal"/>
    <w:link w:val="EncabezadoCar"/>
    <w:uiPriority w:val="99"/>
    <w:unhideWhenUsed/>
    <w:rsid w:val="004A05BF"/>
    <w:pPr>
      <w:tabs>
        <w:tab w:val="center" w:pos="4419"/>
        <w:tab w:val="right" w:pos="8838"/>
      </w:tabs>
      <w:spacing w:after="0" w:line="240" w:lineRule="auto"/>
    </w:pPr>
    <w:rPr>
      <w:rFonts w:ascii="Arial" w:hAnsi="Arial"/>
      <w:sz w:val="24"/>
    </w:rPr>
  </w:style>
  <w:style w:type="character" w:customStyle="1" w:styleId="EncabezadoCar">
    <w:name w:val="Encabezado Car"/>
    <w:basedOn w:val="Fuentedeprrafopredeter"/>
    <w:link w:val="Encabezado"/>
    <w:uiPriority w:val="99"/>
    <w:rsid w:val="004A05BF"/>
    <w:rPr>
      <w:rFonts w:ascii="Arial" w:hAnsi="Arial"/>
      <w:sz w:val="24"/>
    </w:rPr>
  </w:style>
  <w:style w:type="paragraph" w:styleId="Piedepgina">
    <w:name w:val="footer"/>
    <w:basedOn w:val="Normal"/>
    <w:link w:val="PiedepginaCar"/>
    <w:uiPriority w:val="99"/>
    <w:unhideWhenUsed/>
    <w:rsid w:val="004A05BF"/>
    <w:pPr>
      <w:tabs>
        <w:tab w:val="center" w:pos="4419"/>
        <w:tab w:val="right" w:pos="8838"/>
      </w:tabs>
      <w:spacing w:after="0" w:line="240" w:lineRule="auto"/>
    </w:pPr>
    <w:rPr>
      <w:rFonts w:ascii="Arial" w:hAnsi="Arial"/>
      <w:sz w:val="24"/>
    </w:rPr>
  </w:style>
  <w:style w:type="character" w:customStyle="1" w:styleId="PiedepginaCar">
    <w:name w:val="Pie de página Car"/>
    <w:basedOn w:val="Fuentedeprrafopredeter"/>
    <w:link w:val="Piedepgina"/>
    <w:uiPriority w:val="99"/>
    <w:rsid w:val="004A05BF"/>
    <w:rPr>
      <w:rFonts w:ascii="Arial" w:hAnsi="Arial"/>
      <w:sz w:val="24"/>
    </w:rPr>
  </w:style>
  <w:style w:type="paragraph" w:styleId="Sinespaciado">
    <w:name w:val="No Spacing"/>
    <w:uiPriority w:val="1"/>
    <w:qFormat/>
    <w:rsid w:val="004A05BF"/>
    <w:pPr>
      <w:spacing w:after="0" w:line="240" w:lineRule="auto"/>
    </w:pPr>
  </w:style>
  <w:style w:type="table" w:styleId="Sombreadoclaro">
    <w:name w:val="Light Shading"/>
    <w:basedOn w:val="Tablanormal"/>
    <w:uiPriority w:val="60"/>
    <w:rsid w:val="004A05BF"/>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aliases w:val="ft,ft Car Car Car,ft Car,Texto nota pie2,ft1,ft Car Car Car1,Texto nota pie Car2,ft Car Car2"/>
    <w:basedOn w:val="Normal"/>
    <w:link w:val="TextonotapieCar"/>
    <w:uiPriority w:val="99"/>
    <w:rsid w:val="004A05BF"/>
    <w:pPr>
      <w:spacing w:after="0" w:line="240" w:lineRule="auto"/>
      <w:jc w:val="both"/>
    </w:pPr>
    <w:rPr>
      <w:rFonts w:ascii="Calibri" w:eastAsia="Times New Roman" w:hAnsi="Calibri" w:cs="Times New Roman"/>
      <w:sz w:val="20"/>
      <w:szCs w:val="20"/>
      <w:lang w:val="es-ES" w:eastAsia="es-ES"/>
    </w:rPr>
  </w:style>
  <w:style w:type="character" w:customStyle="1" w:styleId="TextonotapieCar">
    <w:name w:val="Texto nota pie Car"/>
    <w:aliases w:val="ft Car1,ft Car Car Car Car,ft Car Car,Texto nota pie2 Car,ft1 Car,ft Car Car Car1 Car,Texto nota pie Car2 Car,ft Car Car2 Car"/>
    <w:basedOn w:val="Fuentedeprrafopredeter"/>
    <w:link w:val="Textonotapie"/>
    <w:uiPriority w:val="99"/>
    <w:rsid w:val="004A05BF"/>
    <w:rPr>
      <w:rFonts w:ascii="Calibri" w:eastAsia="Times New Roman" w:hAnsi="Calibri" w:cs="Times New Roman"/>
      <w:sz w:val="20"/>
      <w:szCs w:val="20"/>
      <w:lang w:val="es-ES" w:eastAsia="es-ES"/>
    </w:rPr>
  </w:style>
  <w:style w:type="character" w:styleId="Refdenotaalpie">
    <w:name w:val="footnote reference"/>
    <w:aliases w:val="Texto de nota al pie,Ref. de nota al pie2"/>
    <w:uiPriority w:val="99"/>
    <w:rsid w:val="004A05BF"/>
    <w:rPr>
      <w:vertAlign w:val="superscript"/>
    </w:rPr>
  </w:style>
  <w:style w:type="character" w:styleId="Refdecomentario">
    <w:name w:val="annotation reference"/>
    <w:basedOn w:val="Fuentedeprrafopredeter"/>
    <w:uiPriority w:val="99"/>
    <w:semiHidden/>
    <w:unhideWhenUsed/>
    <w:rsid w:val="007F4C3C"/>
    <w:rPr>
      <w:sz w:val="16"/>
      <w:szCs w:val="16"/>
    </w:rPr>
  </w:style>
  <w:style w:type="paragraph" w:styleId="Textocomentario">
    <w:name w:val="annotation text"/>
    <w:basedOn w:val="Normal"/>
    <w:link w:val="TextocomentarioCar"/>
    <w:uiPriority w:val="99"/>
    <w:semiHidden/>
    <w:unhideWhenUsed/>
    <w:rsid w:val="007F4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4C3C"/>
    <w:rPr>
      <w:sz w:val="20"/>
      <w:szCs w:val="20"/>
    </w:rPr>
  </w:style>
  <w:style w:type="paragraph" w:styleId="Asuntodelcomentario">
    <w:name w:val="annotation subject"/>
    <w:basedOn w:val="Textocomentario"/>
    <w:next w:val="Textocomentario"/>
    <w:link w:val="AsuntodelcomentarioCar"/>
    <w:uiPriority w:val="99"/>
    <w:semiHidden/>
    <w:unhideWhenUsed/>
    <w:rsid w:val="007F4C3C"/>
    <w:rPr>
      <w:b/>
      <w:bCs/>
    </w:rPr>
  </w:style>
  <w:style w:type="character" w:customStyle="1" w:styleId="AsuntodelcomentarioCar">
    <w:name w:val="Asunto del comentario Car"/>
    <w:basedOn w:val="TextocomentarioCar"/>
    <w:link w:val="Asuntodelcomentario"/>
    <w:uiPriority w:val="99"/>
    <w:semiHidden/>
    <w:rsid w:val="007F4C3C"/>
    <w:rPr>
      <w:b/>
      <w:bCs/>
      <w:sz w:val="20"/>
      <w:szCs w:val="20"/>
    </w:rPr>
  </w:style>
  <w:style w:type="paragraph" w:styleId="Textonotaalfinal">
    <w:name w:val="endnote text"/>
    <w:basedOn w:val="Normal"/>
    <w:link w:val="TextonotaalfinalCar"/>
    <w:uiPriority w:val="99"/>
    <w:semiHidden/>
    <w:unhideWhenUsed/>
    <w:rsid w:val="00616B3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16B3E"/>
    <w:rPr>
      <w:sz w:val="20"/>
      <w:szCs w:val="20"/>
    </w:rPr>
  </w:style>
  <w:style w:type="character" w:styleId="Refdenotaalfinal">
    <w:name w:val="endnote reference"/>
    <w:basedOn w:val="Fuentedeprrafopredeter"/>
    <w:uiPriority w:val="99"/>
    <w:semiHidden/>
    <w:unhideWhenUsed/>
    <w:rsid w:val="00616B3E"/>
    <w:rPr>
      <w:vertAlign w:val="superscript"/>
    </w:rPr>
  </w:style>
  <w:style w:type="paragraph" w:styleId="Revisin">
    <w:name w:val="Revision"/>
    <w:hidden/>
    <w:uiPriority w:val="99"/>
    <w:semiHidden/>
    <w:rsid w:val="00A72F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05BF"/>
    <w:pPr>
      <w:keepNext/>
      <w:keepLines/>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4A05BF"/>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next w:val="Normal"/>
    <w:link w:val="Ttulo3Car"/>
    <w:uiPriority w:val="9"/>
    <w:unhideWhenUsed/>
    <w:qFormat/>
    <w:rsid w:val="004A05BF"/>
    <w:pPr>
      <w:keepNext/>
      <w:keepLines/>
      <w:spacing w:before="200" w:after="0"/>
      <w:outlineLvl w:val="2"/>
    </w:pPr>
    <w:rPr>
      <w:rFonts w:ascii="Arial" w:eastAsiaTheme="majorEastAsia" w:hAnsi="Arial" w:cstheme="majorBidi"/>
      <w:b/>
      <w:bCs/>
      <w:sz w:val="24"/>
    </w:rPr>
  </w:style>
  <w:style w:type="paragraph" w:styleId="Ttulo4">
    <w:name w:val="heading 4"/>
    <w:basedOn w:val="Normal"/>
    <w:next w:val="Normal"/>
    <w:link w:val="Ttulo4Car"/>
    <w:uiPriority w:val="9"/>
    <w:unhideWhenUsed/>
    <w:qFormat/>
    <w:rsid w:val="004A05B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9AD"/>
    <w:pPr>
      <w:ind w:left="720"/>
      <w:contextualSpacing/>
    </w:pPr>
  </w:style>
  <w:style w:type="paragraph" w:customStyle="1" w:styleId="Default">
    <w:name w:val="Default"/>
    <w:rsid w:val="00D5598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D5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E59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932"/>
    <w:rPr>
      <w:rFonts w:ascii="Tahoma" w:hAnsi="Tahoma" w:cs="Tahoma"/>
      <w:sz w:val="16"/>
      <w:szCs w:val="16"/>
    </w:rPr>
  </w:style>
  <w:style w:type="character" w:customStyle="1" w:styleId="Ttulo1Car">
    <w:name w:val="Título 1 Car"/>
    <w:basedOn w:val="Fuentedeprrafopredeter"/>
    <w:link w:val="Ttulo1"/>
    <w:uiPriority w:val="9"/>
    <w:rsid w:val="004A05BF"/>
    <w:rPr>
      <w:rFonts w:ascii="Arial" w:eastAsiaTheme="majorEastAsia" w:hAnsi="Arial" w:cstheme="majorBidi"/>
      <w:b/>
      <w:bCs/>
      <w:sz w:val="28"/>
      <w:szCs w:val="28"/>
    </w:rPr>
  </w:style>
  <w:style w:type="character" w:customStyle="1" w:styleId="Ttulo2Car">
    <w:name w:val="Título 2 Car"/>
    <w:basedOn w:val="Fuentedeprrafopredeter"/>
    <w:link w:val="Ttulo2"/>
    <w:uiPriority w:val="9"/>
    <w:rsid w:val="004A05BF"/>
    <w:rPr>
      <w:rFonts w:ascii="Arial" w:eastAsiaTheme="majorEastAsia" w:hAnsi="Arial" w:cstheme="majorBidi"/>
      <w:b/>
      <w:bCs/>
      <w:sz w:val="26"/>
      <w:szCs w:val="26"/>
    </w:rPr>
  </w:style>
  <w:style w:type="character" w:customStyle="1" w:styleId="Ttulo3Car">
    <w:name w:val="Título 3 Car"/>
    <w:basedOn w:val="Fuentedeprrafopredeter"/>
    <w:link w:val="Ttulo3"/>
    <w:uiPriority w:val="9"/>
    <w:rsid w:val="004A05BF"/>
    <w:rPr>
      <w:rFonts w:ascii="Arial" w:eastAsiaTheme="majorEastAsia" w:hAnsi="Arial" w:cstheme="majorBidi"/>
      <w:b/>
      <w:bCs/>
      <w:sz w:val="24"/>
    </w:rPr>
  </w:style>
  <w:style w:type="character" w:customStyle="1" w:styleId="Ttulo4Car">
    <w:name w:val="Título 4 Car"/>
    <w:basedOn w:val="Fuentedeprrafopredeter"/>
    <w:link w:val="Ttulo4"/>
    <w:uiPriority w:val="9"/>
    <w:rsid w:val="004A05BF"/>
    <w:rPr>
      <w:rFonts w:asciiTheme="majorHAnsi" w:eastAsiaTheme="majorEastAsia" w:hAnsiTheme="majorHAnsi" w:cstheme="majorBidi"/>
      <w:b/>
      <w:bCs/>
      <w:i/>
      <w:iCs/>
      <w:color w:val="4F81BD" w:themeColor="accent1"/>
      <w:sz w:val="24"/>
    </w:rPr>
  </w:style>
  <w:style w:type="paragraph" w:styleId="TtulodeTDC">
    <w:name w:val="TOC Heading"/>
    <w:basedOn w:val="Ttulo1"/>
    <w:next w:val="Normal"/>
    <w:uiPriority w:val="39"/>
    <w:semiHidden/>
    <w:unhideWhenUsed/>
    <w:qFormat/>
    <w:rsid w:val="004A05BF"/>
    <w:pPr>
      <w:outlineLvl w:val="9"/>
    </w:pPr>
    <w:rPr>
      <w:lang w:eastAsia="es-CO"/>
    </w:rPr>
  </w:style>
  <w:style w:type="paragraph" w:styleId="TDC1">
    <w:name w:val="toc 1"/>
    <w:basedOn w:val="Normal"/>
    <w:next w:val="Normal"/>
    <w:autoRedefine/>
    <w:uiPriority w:val="39"/>
    <w:unhideWhenUsed/>
    <w:qFormat/>
    <w:rsid w:val="004A05BF"/>
    <w:pPr>
      <w:spacing w:after="100"/>
    </w:pPr>
    <w:rPr>
      <w:rFonts w:ascii="Arial" w:hAnsi="Arial"/>
      <w:sz w:val="24"/>
    </w:rPr>
  </w:style>
  <w:style w:type="character" w:styleId="Hipervnculo">
    <w:name w:val="Hyperlink"/>
    <w:basedOn w:val="Fuentedeprrafopredeter"/>
    <w:uiPriority w:val="99"/>
    <w:unhideWhenUsed/>
    <w:rsid w:val="004A05BF"/>
    <w:rPr>
      <w:color w:val="0000FF" w:themeColor="hyperlink"/>
      <w:u w:val="single"/>
    </w:rPr>
  </w:style>
  <w:style w:type="paragraph" w:styleId="TDC2">
    <w:name w:val="toc 2"/>
    <w:basedOn w:val="Normal"/>
    <w:next w:val="Normal"/>
    <w:autoRedefine/>
    <w:uiPriority w:val="39"/>
    <w:unhideWhenUsed/>
    <w:qFormat/>
    <w:rsid w:val="004A05BF"/>
    <w:pPr>
      <w:spacing w:after="100"/>
      <w:ind w:left="220"/>
    </w:pPr>
    <w:rPr>
      <w:rFonts w:ascii="Arial" w:hAnsi="Arial"/>
      <w:sz w:val="24"/>
    </w:rPr>
  </w:style>
  <w:style w:type="paragraph" w:styleId="TDC3">
    <w:name w:val="toc 3"/>
    <w:basedOn w:val="Normal"/>
    <w:next w:val="Normal"/>
    <w:autoRedefine/>
    <w:uiPriority w:val="39"/>
    <w:unhideWhenUsed/>
    <w:qFormat/>
    <w:rsid w:val="004A05BF"/>
    <w:pPr>
      <w:tabs>
        <w:tab w:val="right" w:leader="dot" w:pos="8828"/>
      </w:tabs>
      <w:spacing w:after="100"/>
      <w:ind w:left="440"/>
      <w:jc w:val="both"/>
    </w:pPr>
    <w:rPr>
      <w:rFonts w:ascii="Arial" w:hAnsi="Arial"/>
      <w:sz w:val="24"/>
    </w:rPr>
  </w:style>
  <w:style w:type="paragraph" w:styleId="Encabezado">
    <w:name w:val="header"/>
    <w:basedOn w:val="Normal"/>
    <w:link w:val="EncabezadoCar"/>
    <w:uiPriority w:val="99"/>
    <w:unhideWhenUsed/>
    <w:rsid w:val="004A05BF"/>
    <w:pPr>
      <w:tabs>
        <w:tab w:val="center" w:pos="4419"/>
        <w:tab w:val="right" w:pos="8838"/>
      </w:tabs>
      <w:spacing w:after="0" w:line="240" w:lineRule="auto"/>
    </w:pPr>
    <w:rPr>
      <w:rFonts w:ascii="Arial" w:hAnsi="Arial"/>
      <w:sz w:val="24"/>
    </w:rPr>
  </w:style>
  <w:style w:type="character" w:customStyle="1" w:styleId="EncabezadoCar">
    <w:name w:val="Encabezado Car"/>
    <w:basedOn w:val="Fuentedeprrafopredeter"/>
    <w:link w:val="Encabezado"/>
    <w:uiPriority w:val="99"/>
    <w:rsid w:val="004A05BF"/>
    <w:rPr>
      <w:rFonts w:ascii="Arial" w:hAnsi="Arial"/>
      <w:sz w:val="24"/>
    </w:rPr>
  </w:style>
  <w:style w:type="paragraph" w:styleId="Piedepgina">
    <w:name w:val="footer"/>
    <w:basedOn w:val="Normal"/>
    <w:link w:val="PiedepginaCar"/>
    <w:uiPriority w:val="99"/>
    <w:unhideWhenUsed/>
    <w:rsid w:val="004A05BF"/>
    <w:pPr>
      <w:tabs>
        <w:tab w:val="center" w:pos="4419"/>
        <w:tab w:val="right" w:pos="8838"/>
      </w:tabs>
      <w:spacing w:after="0" w:line="240" w:lineRule="auto"/>
    </w:pPr>
    <w:rPr>
      <w:rFonts w:ascii="Arial" w:hAnsi="Arial"/>
      <w:sz w:val="24"/>
    </w:rPr>
  </w:style>
  <w:style w:type="character" w:customStyle="1" w:styleId="PiedepginaCar">
    <w:name w:val="Pie de página Car"/>
    <w:basedOn w:val="Fuentedeprrafopredeter"/>
    <w:link w:val="Piedepgina"/>
    <w:uiPriority w:val="99"/>
    <w:rsid w:val="004A05BF"/>
    <w:rPr>
      <w:rFonts w:ascii="Arial" w:hAnsi="Arial"/>
      <w:sz w:val="24"/>
    </w:rPr>
  </w:style>
  <w:style w:type="paragraph" w:styleId="Sinespaciado">
    <w:name w:val="No Spacing"/>
    <w:uiPriority w:val="1"/>
    <w:qFormat/>
    <w:rsid w:val="004A05BF"/>
    <w:pPr>
      <w:spacing w:after="0" w:line="240" w:lineRule="auto"/>
    </w:pPr>
  </w:style>
  <w:style w:type="table" w:styleId="Sombreadoclaro">
    <w:name w:val="Light Shading"/>
    <w:basedOn w:val="Tablanormal"/>
    <w:uiPriority w:val="60"/>
    <w:rsid w:val="004A05BF"/>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aliases w:val="ft,ft Car Car Car,ft Car,Texto nota pie2,ft1,ft Car Car Car1,Texto nota pie Car2,ft Car Car2"/>
    <w:basedOn w:val="Normal"/>
    <w:link w:val="TextonotapieCar"/>
    <w:uiPriority w:val="99"/>
    <w:rsid w:val="004A05BF"/>
    <w:pPr>
      <w:spacing w:after="0" w:line="240" w:lineRule="auto"/>
      <w:jc w:val="both"/>
    </w:pPr>
    <w:rPr>
      <w:rFonts w:ascii="Calibri" w:eastAsia="Times New Roman" w:hAnsi="Calibri" w:cs="Times New Roman"/>
      <w:sz w:val="20"/>
      <w:szCs w:val="20"/>
      <w:lang w:val="es-ES" w:eastAsia="es-ES"/>
    </w:rPr>
  </w:style>
  <w:style w:type="character" w:customStyle="1" w:styleId="TextonotapieCar">
    <w:name w:val="Texto nota pie Car"/>
    <w:aliases w:val="ft Car1,ft Car Car Car Car,ft Car Car,Texto nota pie2 Car,ft1 Car,ft Car Car Car1 Car,Texto nota pie Car2 Car,ft Car Car2 Car"/>
    <w:basedOn w:val="Fuentedeprrafopredeter"/>
    <w:link w:val="Textonotapie"/>
    <w:uiPriority w:val="99"/>
    <w:rsid w:val="004A05BF"/>
    <w:rPr>
      <w:rFonts w:ascii="Calibri" w:eastAsia="Times New Roman" w:hAnsi="Calibri" w:cs="Times New Roman"/>
      <w:sz w:val="20"/>
      <w:szCs w:val="20"/>
      <w:lang w:val="es-ES" w:eastAsia="es-ES"/>
    </w:rPr>
  </w:style>
  <w:style w:type="character" w:styleId="Refdenotaalpie">
    <w:name w:val="footnote reference"/>
    <w:aliases w:val="Texto de nota al pie,Ref. de nota al pie2"/>
    <w:uiPriority w:val="99"/>
    <w:rsid w:val="004A05BF"/>
    <w:rPr>
      <w:vertAlign w:val="superscript"/>
    </w:rPr>
  </w:style>
  <w:style w:type="character" w:styleId="Refdecomentario">
    <w:name w:val="annotation reference"/>
    <w:basedOn w:val="Fuentedeprrafopredeter"/>
    <w:uiPriority w:val="99"/>
    <w:semiHidden/>
    <w:unhideWhenUsed/>
    <w:rsid w:val="007F4C3C"/>
    <w:rPr>
      <w:sz w:val="16"/>
      <w:szCs w:val="16"/>
    </w:rPr>
  </w:style>
  <w:style w:type="paragraph" w:styleId="Textocomentario">
    <w:name w:val="annotation text"/>
    <w:basedOn w:val="Normal"/>
    <w:link w:val="TextocomentarioCar"/>
    <w:uiPriority w:val="99"/>
    <w:semiHidden/>
    <w:unhideWhenUsed/>
    <w:rsid w:val="007F4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4C3C"/>
    <w:rPr>
      <w:sz w:val="20"/>
      <w:szCs w:val="20"/>
    </w:rPr>
  </w:style>
  <w:style w:type="paragraph" w:styleId="Asuntodelcomentario">
    <w:name w:val="annotation subject"/>
    <w:basedOn w:val="Textocomentario"/>
    <w:next w:val="Textocomentario"/>
    <w:link w:val="AsuntodelcomentarioCar"/>
    <w:uiPriority w:val="99"/>
    <w:semiHidden/>
    <w:unhideWhenUsed/>
    <w:rsid w:val="007F4C3C"/>
    <w:rPr>
      <w:b/>
      <w:bCs/>
    </w:rPr>
  </w:style>
  <w:style w:type="character" w:customStyle="1" w:styleId="AsuntodelcomentarioCar">
    <w:name w:val="Asunto del comentario Car"/>
    <w:basedOn w:val="TextocomentarioCar"/>
    <w:link w:val="Asuntodelcomentario"/>
    <w:uiPriority w:val="99"/>
    <w:semiHidden/>
    <w:rsid w:val="007F4C3C"/>
    <w:rPr>
      <w:b/>
      <w:bCs/>
      <w:sz w:val="20"/>
      <w:szCs w:val="20"/>
    </w:rPr>
  </w:style>
  <w:style w:type="paragraph" w:styleId="Textonotaalfinal">
    <w:name w:val="endnote text"/>
    <w:basedOn w:val="Normal"/>
    <w:link w:val="TextonotaalfinalCar"/>
    <w:uiPriority w:val="99"/>
    <w:semiHidden/>
    <w:unhideWhenUsed/>
    <w:rsid w:val="00616B3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16B3E"/>
    <w:rPr>
      <w:sz w:val="20"/>
      <w:szCs w:val="20"/>
    </w:rPr>
  </w:style>
  <w:style w:type="character" w:styleId="Refdenotaalfinal">
    <w:name w:val="endnote reference"/>
    <w:basedOn w:val="Fuentedeprrafopredeter"/>
    <w:uiPriority w:val="99"/>
    <w:semiHidden/>
    <w:unhideWhenUsed/>
    <w:rsid w:val="00616B3E"/>
    <w:rPr>
      <w:vertAlign w:val="superscript"/>
    </w:rPr>
  </w:style>
  <w:style w:type="paragraph" w:styleId="Revisin">
    <w:name w:val="Revision"/>
    <w:hidden/>
    <w:uiPriority w:val="99"/>
    <w:semiHidden/>
    <w:rsid w:val="00A72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859">
      <w:bodyDiv w:val="1"/>
      <w:marLeft w:val="0"/>
      <w:marRight w:val="0"/>
      <w:marTop w:val="0"/>
      <w:marBottom w:val="0"/>
      <w:divBdr>
        <w:top w:val="none" w:sz="0" w:space="0" w:color="auto"/>
        <w:left w:val="none" w:sz="0" w:space="0" w:color="auto"/>
        <w:bottom w:val="none" w:sz="0" w:space="0" w:color="auto"/>
        <w:right w:val="none" w:sz="0" w:space="0" w:color="auto"/>
      </w:divBdr>
    </w:div>
    <w:div w:id="71315497">
      <w:bodyDiv w:val="1"/>
      <w:marLeft w:val="0"/>
      <w:marRight w:val="0"/>
      <w:marTop w:val="0"/>
      <w:marBottom w:val="0"/>
      <w:divBdr>
        <w:top w:val="none" w:sz="0" w:space="0" w:color="auto"/>
        <w:left w:val="none" w:sz="0" w:space="0" w:color="auto"/>
        <w:bottom w:val="none" w:sz="0" w:space="0" w:color="auto"/>
        <w:right w:val="none" w:sz="0" w:space="0" w:color="auto"/>
      </w:divBdr>
    </w:div>
    <w:div w:id="120195827">
      <w:bodyDiv w:val="1"/>
      <w:marLeft w:val="0"/>
      <w:marRight w:val="0"/>
      <w:marTop w:val="0"/>
      <w:marBottom w:val="0"/>
      <w:divBdr>
        <w:top w:val="none" w:sz="0" w:space="0" w:color="auto"/>
        <w:left w:val="none" w:sz="0" w:space="0" w:color="auto"/>
        <w:bottom w:val="none" w:sz="0" w:space="0" w:color="auto"/>
        <w:right w:val="none" w:sz="0" w:space="0" w:color="auto"/>
      </w:divBdr>
    </w:div>
    <w:div w:id="163478244">
      <w:bodyDiv w:val="1"/>
      <w:marLeft w:val="0"/>
      <w:marRight w:val="0"/>
      <w:marTop w:val="0"/>
      <w:marBottom w:val="0"/>
      <w:divBdr>
        <w:top w:val="none" w:sz="0" w:space="0" w:color="auto"/>
        <w:left w:val="none" w:sz="0" w:space="0" w:color="auto"/>
        <w:bottom w:val="none" w:sz="0" w:space="0" w:color="auto"/>
        <w:right w:val="none" w:sz="0" w:space="0" w:color="auto"/>
      </w:divBdr>
    </w:div>
    <w:div w:id="342826510">
      <w:bodyDiv w:val="1"/>
      <w:marLeft w:val="0"/>
      <w:marRight w:val="0"/>
      <w:marTop w:val="0"/>
      <w:marBottom w:val="0"/>
      <w:divBdr>
        <w:top w:val="none" w:sz="0" w:space="0" w:color="auto"/>
        <w:left w:val="none" w:sz="0" w:space="0" w:color="auto"/>
        <w:bottom w:val="none" w:sz="0" w:space="0" w:color="auto"/>
        <w:right w:val="none" w:sz="0" w:space="0" w:color="auto"/>
      </w:divBdr>
    </w:div>
    <w:div w:id="375812942">
      <w:bodyDiv w:val="1"/>
      <w:marLeft w:val="0"/>
      <w:marRight w:val="0"/>
      <w:marTop w:val="0"/>
      <w:marBottom w:val="0"/>
      <w:divBdr>
        <w:top w:val="none" w:sz="0" w:space="0" w:color="auto"/>
        <w:left w:val="none" w:sz="0" w:space="0" w:color="auto"/>
        <w:bottom w:val="none" w:sz="0" w:space="0" w:color="auto"/>
        <w:right w:val="none" w:sz="0" w:space="0" w:color="auto"/>
      </w:divBdr>
    </w:div>
    <w:div w:id="569772701">
      <w:bodyDiv w:val="1"/>
      <w:marLeft w:val="0"/>
      <w:marRight w:val="0"/>
      <w:marTop w:val="0"/>
      <w:marBottom w:val="0"/>
      <w:divBdr>
        <w:top w:val="none" w:sz="0" w:space="0" w:color="auto"/>
        <w:left w:val="none" w:sz="0" w:space="0" w:color="auto"/>
        <w:bottom w:val="none" w:sz="0" w:space="0" w:color="auto"/>
        <w:right w:val="none" w:sz="0" w:space="0" w:color="auto"/>
      </w:divBdr>
    </w:div>
    <w:div w:id="583340200">
      <w:bodyDiv w:val="1"/>
      <w:marLeft w:val="0"/>
      <w:marRight w:val="0"/>
      <w:marTop w:val="0"/>
      <w:marBottom w:val="0"/>
      <w:divBdr>
        <w:top w:val="none" w:sz="0" w:space="0" w:color="auto"/>
        <w:left w:val="none" w:sz="0" w:space="0" w:color="auto"/>
        <w:bottom w:val="none" w:sz="0" w:space="0" w:color="auto"/>
        <w:right w:val="none" w:sz="0" w:space="0" w:color="auto"/>
      </w:divBdr>
    </w:div>
    <w:div w:id="646664594">
      <w:bodyDiv w:val="1"/>
      <w:marLeft w:val="0"/>
      <w:marRight w:val="0"/>
      <w:marTop w:val="0"/>
      <w:marBottom w:val="0"/>
      <w:divBdr>
        <w:top w:val="none" w:sz="0" w:space="0" w:color="auto"/>
        <w:left w:val="none" w:sz="0" w:space="0" w:color="auto"/>
        <w:bottom w:val="none" w:sz="0" w:space="0" w:color="auto"/>
        <w:right w:val="none" w:sz="0" w:space="0" w:color="auto"/>
      </w:divBdr>
    </w:div>
    <w:div w:id="861673615">
      <w:bodyDiv w:val="1"/>
      <w:marLeft w:val="0"/>
      <w:marRight w:val="0"/>
      <w:marTop w:val="0"/>
      <w:marBottom w:val="0"/>
      <w:divBdr>
        <w:top w:val="none" w:sz="0" w:space="0" w:color="auto"/>
        <w:left w:val="none" w:sz="0" w:space="0" w:color="auto"/>
        <w:bottom w:val="none" w:sz="0" w:space="0" w:color="auto"/>
        <w:right w:val="none" w:sz="0" w:space="0" w:color="auto"/>
      </w:divBdr>
    </w:div>
    <w:div w:id="945188971">
      <w:bodyDiv w:val="1"/>
      <w:marLeft w:val="0"/>
      <w:marRight w:val="0"/>
      <w:marTop w:val="0"/>
      <w:marBottom w:val="0"/>
      <w:divBdr>
        <w:top w:val="none" w:sz="0" w:space="0" w:color="auto"/>
        <w:left w:val="none" w:sz="0" w:space="0" w:color="auto"/>
        <w:bottom w:val="none" w:sz="0" w:space="0" w:color="auto"/>
        <w:right w:val="none" w:sz="0" w:space="0" w:color="auto"/>
      </w:divBdr>
    </w:div>
    <w:div w:id="1060790318">
      <w:bodyDiv w:val="1"/>
      <w:marLeft w:val="0"/>
      <w:marRight w:val="0"/>
      <w:marTop w:val="0"/>
      <w:marBottom w:val="0"/>
      <w:divBdr>
        <w:top w:val="none" w:sz="0" w:space="0" w:color="auto"/>
        <w:left w:val="none" w:sz="0" w:space="0" w:color="auto"/>
        <w:bottom w:val="none" w:sz="0" w:space="0" w:color="auto"/>
        <w:right w:val="none" w:sz="0" w:space="0" w:color="auto"/>
      </w:divBdr>
    </w:div>
    <w:div w:id="1139763245">
      <w:bodyDiv w:val="1"/>
      <w:marLeft w:val="0"/>
      <w:marRight w:val="0"/>
      <w:marTop w:val="0"/>
      <w:marBottom w:val="0"/>
      <w:divBdr>
        <w:top w:val="none" w:sz="0" w:space="0" w:color="auto"/>
        <w:left w:val="none" w:sz="0" w:space="0" w:color="auto"/>
        <w:bottom w:val="none" w:sz="0" w:space="0" w:color="auto"/>
        <w:right w:val="none" w:sz="0" w:space="0" w:color="auto"/>
      </w:divBdr>
    </w:div>
    <w:div w:id="1177965843">
      <w:bodyDiv w:val="1"/>
      <w:marLeft w:val="0"/>
      <w:marRight w:val="0"/>
      <w:marTop w:val="0"/>
      <w:marBottom w:val="0"/>
      <w:divBdr>
        <w:top w:val="none" w:sz="0" w:space="0" w:color="auto"/>
        <w:left w:val="none" w:sz="0" w:space="0" w:color="auto"/>
        <w:bottom w:val="none" w:sz="0" w:space="0" w:color="auto"/>
        <w:right w:val="none" w:sz="0" w:space="0" w:color="auto"/>
      </w:divBdr>
    </w:div>
    <w:div w:id="1247033641">
      <w:bodyDiv w:val="1"/>
      <w:marLeft w:val="0"/>
      <w:marRight w:val="0"/>
      <w:marTop w:val="0"/>
      <w:marBottom w:val="0"/>
      <w:divBdr>
        <w:top w:val="none" w:sz="0" w:space="0" w:color="auto"/>
        <w:left w:val="none" w:sz="0" w:space="0" w:color="auto"/>
        <w:bottom w:val="none" w:sz="0" w:space="0" w:color="auto"/>
        <w:right w:val="none" w:sz="0" w:space="0" w:color="auto"/>
      </w:divBdr>
    </w:div>
    <w:div w:id="1434588601">
      <w:bodyDiv w:val="1"/>
      <w:marLeft w:val="0"/>
      <w:marRight w:val="0"/>
      <w:marTop w:val="0"/>
      <w:marBottom w:val="0"/>
      <w:divBdr>
        <w:top w:val="none" w:sz="0" w:space="0" w:color="auto"/>
        <w:left w:val="none" w:sz="0" w:space="0" w:color="auto"/>
        <w:bottom w:val="none" w:sz="0" w:space="0" w:color="auto"/>
        <w:right w:val="none" w:sz="0" w:space="0" w:color="auto"/>
      </w:divBdr>
    </w:div>
    <w:div w:id="1467429321">
      <w:bodyDiv w:val="1"/>
      <w:marLeft w:val="0"/>
      <w:marRight w:val="0"/>
      <w:marTop w:val="0"/>
      <w:marBottom w:val="0"/>
      <w:divBdr>
        <w:top w:val="none" w:sz="0" w:space="0" w:color="auto"/>
        <w:left w:val="none" w:sz="0" w:space="0" w:color="auto"/>
        <w:bottom w:val="none" w:sz="0" w:space="0" w:color="auto"/>
        <w:right w:val="none" w:sz="0" w:space="0" w:color="auto"/>
      </w:divBdr>
    </w:div>
    <w:div w:id="1678384154">
      <w:bodyDiv w:val="1"/>
      <w:marLeft w:val="0"/>
      <w:marRight w:val="0"/>
      <w:marTop w:val="0"/>
      <w:marBottom w:val="0"/>
      <w:divBdr>
        <w:top w:val="none" w:sz="0" w:space="0" w:color="auto"/>
        <w:left w:val="none" w:sz="0" w:space="0" w:color="auto"/>
        <w:bottom w:val="none" w:sz="0" w:space="0" w:color="auto"/>
        <w:right w:val="none" w:sz="0" w:space="0" w:color="auto"/>
      </w:divBdr>
    </w:div>
    <w:div w:id="1829245968">
      <w:bodyDiv w:val="1"/>
      <w:marLeft w:val="0"/>
      <w:marRight w:val="0"/>
      <w:marTop w:val="0"/>
      <w:marBottom w:val="0"/>
      <w:divBdr>
        <w:top w:val="none" w:sz="0" w:space="0" w:color="auto"/>
        <w:left w:val="none" w:sz="0" w:space="0" w:color="auto"/>
        <w:bottom w:val="none" w:sz="0" w:space="0" w:color="auto"/>
        <w:right w:val="none" w:sz="0" w:space="0" w:color="auto"/>
      </w:divBdr>
    </w:div>
    <w:div w:id="1999916006">
      <w:bodyDiv w:val="1"/>
      <w:marLeft w:val="0"/>
      <w:marRight w:val="0"/>
      <w:marTop w:val="0"/>
      <w:marBottom w:val="0"/>
      <w:divBdr>
        <w:top w:val="none" w:sz="0" w:space="0" w:color="auto"/>
        <w:left w:val="none" w:sz="0" w:space="0" w:color="auto"/>
        <w:bottom w:val="none" w:sz="0" w:space="0" w:color="auto"/>
        <w:right w:val="none" w:sz="0" w:space="0" w:color="auto"/>
      </w:divBdr>
    </w:div>
    <w:div w:id="20067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22CE-5BE8-4068-A0C8-A661FA47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1257</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Edinson Heyner Palacios Castillo</dc:creator>
  <cp:lastModifiedBy>Jose Rolando Sarmiento Perez</cp:lastModifiedBy>
  <cp:revision>2</cp:revision>
  <dcterms:created xsi:type="dcterms:W3CDTF">2020-09-28T13:33:00Z</dcterms:created>
  <dcterms:modified xsi:type="dcterms:W3CDTF">2020-09-28T13:33:00Z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-938335814</vt:i4>
  </property>
</Properties>
</file>