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5BF" w:rsidRPr="00BB533C" w:rsidRDefault="004A05BF" w:rsidP="00BB533C">
      <w:pPr>
        <w:jc w:val="center"/>
        <w:rPr>
          <w:rFonts w:ascii="Arial" w:hAnsi="Arial" w:cs="Arial"/>
          <w:b/>
          <w:sz w:val="24"/>
          <w:szCs w:val="24"/>
        </w:rPr>
      </w:pPr>
    </w:p>
    <w:p w:rsidR="004A05BF" w:rsidRPr="00BB533C" w:rsidRDefault="004A05BF" w:rsidP="00BB533C">
      <w:pPr>
        <w:jc w:val="center"/>
        <w:rPr>
          <w:rFonts w:ascii="Arial" w:hAnsi="Arial" w:cs="Arial"/>
          <w:b/>
          <w:sz w:val="24"/>
          <w:szCs w:val="24"/>
        </w:rPr>
      </w:pPr>
    </w:p>
    <w:p w:rsidR="00167464" w:rsidRDefault="00167464" w:rsidP="00FC6EB2">
      <w:pPr>
        <w:tabs>
          <w:tab w:val="left" w:pos="5651"/>
        </w:tabs>
        <w:jc w:val="center"/>
        <w:rPr>
          <w:rFonts w:ascii="Arial" w:hAnsi="Arial" w:cs="Arial"/>
          <w:b/>
          <w:sz w:val="28"/>
          <w:szCs w:val="24"/>
        </w:rPr>
      </w:pPr>
      <w:bookmarkStart w:id="0" w:name="_Toc30598397"/>
    </w:p>
    <w:p w:rsidR="00CB214D" w:rsidRDefault="00CB214D" w:rsidP="00FC6EB2">
      <w:pPr>
        <w:tabs>
          <w:tab w:val="left" w:pos="5651"/>
        </w:tabs>
        <w:jc w:val="center"/>
        <w:rPr>
          <w:rFonts w:ascii="Arial" w:hAnsi="Arial" w:cs="Arial"/>
          <w:b/>
          <w:sz w:val="28"/>
          <w:szCs w:val="24"/>
        </w:rPr>
      </w:pPr>
    </w:p>
    <w:p w:rsidR="00CB214D" w:rsidRDefault="00CB214D" w:rsidP="00FC6EB2">
      <w:pPr>
        <w:tabs>
          <w:tab w:val="left" w:pos="5651"/>
        </w:tabs>
        <w:jc w:val="center"/>
        <w:rPr>
          <w:rFonts w:ascii="Arial" w:hAnsi="Arial" w:cs="Arial"/>
          <w:b/>
          <w:sz w:val="28"/>
          <w:szCs w:val="24"/>
        </w:rPr>
      </w:pPr>
    </w:p>
    <w:p w:rsidR="00167464" w:rsidRDefault="00167464" w:rsidP="00FC6EB2">
      <w:pPr>
        <w:tabs>
          <w:tab w:val="left" w:pos="5651"/>
        </w:tabs>
        <w:jc w:val="center"/>
        <w:rPr>
          <w:rFonts w:ascii="Arial" w:hAnsi="Arial" w:cs="Arial"/>
          <w:b/>
          <w:sz w:val="28"/>
          <w:szCs w:val="24"/>
        </w:rPr>
      </w:pPr>
    </w:p>
    <w:p w:rsidR="00167464" w:rsidRDefault="00167464" w:rsidP="00FC6EB2">
      <w:pPr>
        <w:tabs>
          <w:tab w:val="left" w:pos="5651"/>
        </w:tabs>
        <w:jc w:val="center"/>
        <w:rPr>
          <w:rFonts w:ascii="Arial" w:hAnsi="Arial" w:cs="Arial"/>
          <w:b/>
          <w:sz w:val="28"/>
          <w:szCs w:val="24"/>
        </w:rPr>
      </w:pPr>
    </w:p>
    <w:p w:rsidR="00FC6EB2" w:rsidRPr="00B24D24" w:rsidRDefault="00FC6EB2" w:rsidP="00FC6EB2">
      <w:pPr>
        <w:tabs>
          <w:tab w:val="left" w:pos="5651"/>
        </w:tabs>
        <w:jc w:val="center"/>
        <w:rPr>
          <w:rFonts w:ascii="Arial" w:hAnsi="Arial" w:cs="Arial"/>
          <w:b/>
          <w:sz w:val="28"/>
          <w:szCs w:val="24"/>
        </w:rPr>
      </w:pPr>
      <w:r w:rsidRPr="00B24D24">
        <w:rPr>
          <w:rFonts w:ascii="Arial" w:hAnsi="Arial" w:cs="Arial"/>
          <w:b/>
          <w:sz w:val="28"/>
          <w:szCs w:val="24"/>
        </w:rPr>
        <w:t>PLAN ANTICORRUPCIÓN Y DE ATENCIÓN AL CIUDADANO 2020</w:t>
      </w:r>
    </w:p>
    <w:p w:rsidR="005B39A3" w:rsidRPr="00B24D24" w:rsidRDefault="00441348" w:rsidP="00FC6EB2">
      <w:pPr>
        <w:pStyle w:val="Ttulo1"/>
        <w:jc w:val="center"/>
        <w:rPr>
          <w:rFonts w:cs="Arial"/>
          <w:szCs w:val="24"/>
        </w:rPr>
      </w:pPr>
      <w:r w:rsidRPr="00B24D24">
        <w:rPr>
          <w:rFonts w:cs="Arial"/>
          <w:szCs w:val="24"/>
        </w:rPr>
        <w:t>Componente 3</w:t>
      </w:r>
      <w:r w:rsidR="00B24D24" w:rsidRPr="00B24D24">
        <w:rPr>
          <w:rFonts w:cs="Arial"/>
          <w:szCs w:val="24"/>
        </w:rPr>
        <w:t>.</w:t>
      </w:r>
      <w:r w:rsidRPr="00B24D24">
        <w:rPr>
          <w:rFonts w:cs="Arial"/>
          <w:szCs w:val="24"/>
        </w:rPr>
        <w:t xml:space="preserve"> </w:t>
      </w:r>
      <w:r w:rsidR="00A62B80" w:rsidRPr="00B24D24">
        <w:rPr>
          <w:rFonts w:cs="Arial"/>
          <w:szCs w:val="24"/>
        </w:rPr>
        <w:t>Estrategia de</w:t>
      </w:r>
      <w:r w:rsidRPr="00B24D24">
        <w:rPr>
          <w:rFonts w:cs="Arial"/>
          <w:szCs w:val="24"/>
        </w:rPr>
        <w:t xml:space="preserve"> </w:t>
      </w:r>
      <w:r w:rsidR="00A62B80" w:rsidRPr="00B24D24">
        <w:rPr>
          <w:rFonts w:cs="Arial"/>
          <w:szCs w:val="24"/>
        </w:rPr>
        <w:t>rendición de cuentas</w:t>
      </w:r>
      <w:bookmarkEnd w:id="0"/>
    </w:p>
    <w:p w:rsidR="00074368" w:rsidRDefault="00074368" w:rsidP="00074368"/>
    <w:p w:rsidR="00074368" w:rsidRDefault="00074368" w:rsidP="00074368"/>
    <w:p w:rsidR="00074368" w:rsidRDefault="00167464" w:rsidP="00074368">
      <w:r>
        <w:t xml:space="preserve"> </w:t>
      </w:r>
    </w:p>
    <w:p w:rsidR="00074368" w:rsidRDefault="00074368" w:rsidP="00074368"/>
    <w:p w:rsidR="00074368" w:rsidRDefault="00074368" w:rsidP="00074368"/>
    <w:p w:rsidR="00167464" w:rsidRDefault="00167464" w:rsidP="00167464">
      <w:pPr>
        <w:jc w:val="center"/>
        <w:rPr>
          <w:b/>
          <w:sz w:val="28"/>
        </w:rPr>
      </w:pPr>
      <w:r>
        <w:rPr>
          <w:b/>
          <w:sz w:val="28"/>
        </w:rPr>
        <w:t xml:space="preserve">Versión 1.0 </w:t>
      </w:r>
    </w:p>
    <w:p w:rsidR="00167464" w:rsidRPr="003E18FD" w:rsidRDefault="00167464" w:rsidP="00167464">
      <w:pPr>
        <w:jc w:val="center"/>
        <w:rPr>
          <w:b/>
          <w:sz w:val="28"/>
        </w:rPr>
      </w:pPr>
      <w:r>
        <w:rPr>
          <w:b/>
          <w:sz w:val="28"/>
        </w:rPr>
        <w:t>Enero de 2020</w:t>
      </w:r>
    </w:p>
    <w:p w:rsidR="00074368" w:rsidRDefault="00074368" w:rsidP="00074368"/>
    <w:p w:rsidR="00074368" w:rsidRDefault="00074368" w:rsidP="00074368"/>
    <w:p w:rsidR="00074368" w:rsidRDefault="00074368" w:rsidP="00074368"/>
    <w:p w:rsidR="00074368" w:rsidRDefault="00074368" w:rsidP="00074368"/>
    <w:p w:rsidR="00074368" w:rsidRDefault="00074368" w:rsidP="00074368"/>
    <w:p w:rsidR="00074368" w:rsidRDefault="00074368" w:rsidP="00074368"/>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lastRenderedPageBreak/>
        <w:t>La Auditoría General de la República (AGR), en cumplimiento del artículo 78 de la Ley 1474</w:t>
      </w:r>
      <w:r w:rsidR="000A3009" w:rsidRPr="00BB533C">
        <w:rPr>
          <w:rFonts w:ascii="Arial" w:hAnsi="Arial" w:cs="Arial"/>
          <w:color w:val="000000"/>
          <w:sz w:val="24"/>
          <w:szCs w:val="24"/>
        </w:rPr>
        <w:t xml:space="preserve"> de 2011, el artículo 48 de la L</w:t>
      </w:r>
      <w:r w:rsidRPr="00BB533C">
        <w:rPr>
          <w:rFonts w:ascii="Arial" w:hAnsi="Arial" w:cs="Arial"/>
          <w:color w:val="000000"/>
          <w:sz w:val="24"/>
          <w:szCs w:val="24"/>
        </w:rPr>
        <w:t xml:space="preserve">ey 1757 de 2015, lo señalado en el documento </w:t>
      </w:r>
      <w:proofErr w:type="spellStart"/>
      <w:r w:rsidRPr="00BB533C">
        <w:rPr>
          <w:rFonts w:ascii="Arial" w:hAnsi="Arial" w:cs="Arial"/>
          <w:color w:val="000000"/>
          <w:sz w:val="24"/>
          <w:szCs w:val="24"/>
        </w:rPr>
        <w:t>Conpes</w:t>
      </w:r>
      <w:proofErr w:type="spellEnd"/>
      <w:r w:rsidRPr="00BB533C">
        <w:rPr>
          <w:rFonts w:ascii="Arial" w:hAnsi="Arial" w:cs="Arial"/>
          <w:color w:val="000000"/>
          <w:sz w:val="24"/>
          <w:szCs w:val="24"/>
        </w:rPr>
        <w:t xml:space="preserve"> 3654 de 2010 y lo programado en su Plan Estratégico 2020-2023 “</w:t>
      </w:r>
      <w:r w:rsidR="000A3009" w:rsidRPr="00BB533C">
        <w:rPr>
          <w:rFonts w:ascii="Arial" w:hAnsi="Arial" w:cs="Arial"/>
          <w:color w:val="000000"/>
          <w:sz w:val="24"/>
          <w:szCs w:val="24"/>
        </w:rPr>
        <w:t>Transformado</w:t>
      </w:r>
      <w:r w:rsidRPr="00BB533C">
        <w:rPr>
          <w:rFonts w:ascii="Arial" w:hAnsi="Arial" w:cs="Arial"/>
          <w:color w:val="000000"/>
          <w:sz w:val="24"/>
          <w:szCs w:val="24"/>
        </w:rPr>
        <w:t xml:space="preserve"> el Control Fiscal” presenta la estrategia de rendición de cuentas correspondiente a la vigencia 2020.</w:t>
      </w:r>
      <w:r w:rsidRPr="00BB533C">
        <w:rPr>
          <w:rFonts w:ascii="Arial" w:hAnsi="Arial" w:cs="Arial"/>
          <w:sz w:val="24"/>
          <w:szCs w:val="24"/>
        </w:rPr>
        <w:t xml:space="preserve"> </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 xml:space="preserve">Para la AGR la rendición de cuentas es un espacio de interlocución entre los servidores públicos y la ciudadanía, y tiene como finalidad generar transparencia, condiciones de confianza entre sus directivos y ciudadanos y garantizar el ejercicio del control social a la administración pública; sirviendo además de insumo para ajustar su plan estratégico, proyectos y planes de acción. </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Consiste en responder ante el ciudadano por los deberes y obligaciones que la constitución y las leyes nos han asignado para generar valor público.</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 xml:space="preserve">La estrategia de rendición de cuentas se configura para la AGR como el mecanismo de doble vía en el que el derecho a la información clara, contundente y precisa es vital para garantizar la transparencia en los procesos de dar cuenta ofreciendo las respuestas necesarias y la posibilidad de retroalimentar dichos procesos bajo el enfoque de mejora continua. </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La AGR considera la rendición de cuenta como un espacio continuo, dinámico y un mecanismo de articulación entre la administración pública y la sociedad colombiana, buscando valor agregado, con posibilidad de retroalimentación y respeto por las sugerencias de mejora.</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 xml:space="preserve">La entidad se compromete con sus grupos de valor y la sociedad en general a informar y explicar su gestión realizada, en lenguaje comprensible, facilitando el diálogo participativo. </w:t>
      </w:r>
    </w:p>
    <w:p w:rsidR="00441348" w:rsidRPr="00BB533C" w:rsidRDefault="00441348"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b/>
          <w:color w:val="000000"/>
          <w:sz w:val="24"/>
          <w:szCs w:val="24"/>
        </w:rPr>
      </w:pPr>
      <w:r w:rsidRPr="00BB533C">
        <w:rPr>
          <w:rFonts w:ascii="Arial" w:hAnsi="Arial" w:cs="Arial"/>
          <w:b/>
          <w:color w:val="000000"/>
          <w:sz w:val="24"/>
          <w:szCs w:val="24"/>
        </w:rPr>
        <w:t>Objetivo General</w:t>
      </w:r>
    </w:p>
    <w:p w:rsidR="005B39A3" w:rsidRPr="00BB533C" w:rsidRDefault="005B39A3" w:rsidP="00BB533C">
      <w:pPr>
        <w:autoSpaceDE w:val="0"/>
        <w:autoSpaceDN w:val="0"/>
        <w:adjustRightInd w:val="0"/>
        <w:spacing w:after="0"/>
        <w:jc w:val="both"/>
        <w:rPr>
          <w:rFonts w:ascii="Arial" w:hAnsi="Arial" w:cs="Arial"/>
          <w:b/>
          <w:color w:val="000000"/>
          <w:sz w:val="24"/>
          <w:szCs w:val="24"/>
        </w:rPr>
      </w:pP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Cumplir con la obligación como organismo de control, de informar, dialogar y dar respuesta clara, concreta y eficaz a las peticiones y necesidades de los actores interesados (ciudadanía, organizaciones y grupos de valor) sobre la gestión realizada, los resultados de su plan estratégico institucional, sus planes de acción y el respeto, garantía y protección de los derechos.</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b/>
          <w:color w:val="000000"/>
          <w:sz w:val="24"/>
          <w:szCs w:val="24"/>
        </w:rPr>
      </w:pPr>
      <w:r w:rsidRPr="00BB533C">
        <w:rPr>
          <w:rFonts w:ascii="Arial" w:hAnsi="Arial" w:cs="Arial"/>
          <w:b/>
          <w:color w:val="000000"/>
          <w:sz w:val="24"/>
          <w:szCs w:val="24"/>
        </w:rPr>
        <w:lastRenderedPageBreak/>
        <w:t>Objetivos específicos:</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pStyle w:val="Prrafodelista"/>
        <w:numPr>
          <w:ilvl w:val="0"/>
          <w:numId w:val="26"/>
        </w:numPr>
        <w:tabs>
          <w:tab w:val="left" w:pos="426"/>
        </w:tabs>
        <w:autoSpaceDE w:val="0"/>
        <w:autoSpaceDN w:val="0"/>
        <w:adjustRightInd w:val="0"/>
        <w:spacing w:after="0"/>
        <w:ind w:left="0" w:firstLine="0"/>
        <w:jc w:val="both"/>
        <w:rPr>
          <w:rFonts w:ascii="Arial" w:hAnsi="Arial" w:cs="Arial"/>
          <w:color w:val="000000"/>
          <w:sz w:val="24"/>
          <w:szCs w:val="24"/>
        </w:rPr>
      </w:pPr>
      <w:r w:rsidRPr="00BB533C">
        <w:rPr>
          <w:rFonts w:ascii="Arial" w:hAnsi="Arial" w:cs="Arial"/>
          <w:color w:val="000000"/>
          <w:sz w:val="24"/>
          <w:szCs w:val="24"/>
        </w:rPr>
        <w:t>Mostrar la gestión que desarrolla la AGR para cumplir con su misión, vinculando a sus grupos de valor de manera corresponsable en el cumplimiento de la misma.</w:t>
      </w:r>
    </w:p>
    <w:p w:rsidR="005B39A3" w:rsidRPr="00BB533C" w:rsidRDefault="005B39A3" w:rsidP="00BB533C">
      <w:pPr>
        <w:pStyle w:val="Prrafodelista"/>
        <w:numPr>
          <w:ilvl w:val="0"/>
          <w:numId w:val="26"/>
        </w:numPr>
        <w:tabs>
          <w:tab w:val="left" w:pos="426"/>
        </w:tabs>
        <w:autoSpaceDE w:val="0"/>
        <w:autoSpaceDN w:val="0"/>
        <w:adjustRightInd w:val="0"/>
        <w:spacing w:after="0"/>
        <w:ind w:left="0" w:firstLine="0"/>
        <w:jc w:val="both"/>
        <w:rPr>
          <w:rFonts w:ascii="Arial" w:hAnsi="Arial" w:cs="Arial"/>
          <w:color w:val="000000"/>
          <w:sz w:val="24"/>
          <w:szCs w:val="24"/>
        </w:rPr>
      </w:pPr>
      <w:r w:rsidRPr="00BB533C">
        <w:rPr>
          <w:rFonts w:ascii="Arial" w:hAnsi="Arial" w:cs="Arial"/>
          <w:color w:val="000000"/>
          <w:sz w:val="24"/>
          <w:szCs w:val="24"/>
        </w:rPr>
        <w:t>Innovar en ideas sobre el buen desarrollo de su plan estratégico, y la toma de decisiones, a partir del diálogo con los grupos de valor.</w:t>
      </w:r>
    </w:p>
    <w:p w:rsidR="005B39A3" w:rsidRPr="00BB533C" w:rsidRDefault="005B39A3" w:rsidP="00BB533C">
      <w:pPr>
        <w:pStyle w:val="Prrafodelista"/>
        <w:numPr>
          <w:ilvl w:val="0"/>
          <w:numId w:val="26"/>
        </w:numPr>
        <w:tabs>
          <w:tab w:val="left" w:pos="426"/>
        </w:tabs>
        <w:autoSpaceDE w:val="0"/>
        <w:autoSpaceDN w:val="0"/>
        <w:adjustRightInd w:val="0"/>
        <w:spacing w:after="0"/>
        <w:ind w:left="0" w:firstLine="0"/>
        <w:jc w:val="both"/>
        <w:rPr>
          <w:rFonts w:ascii="Arial" w:hAnsi="Arial" w:cs="Arial"/>
          <w:color w:val="000000"/>
          <w:sz w:val="24"/>
          <w:szCs w:val="24"/>
        </w:rPr>
      </w:pPr>
      <w:r w:rsidRPr="00BB533C">
        <w:rPr>
          <w:rFonts w:ascii="Arial" w:hAnsi="Arial" w:cs="Arial"/>
          <w:color w:val="000000"/>
          <w:sz w:val="24"/>
          <w:szCs w:val="24"/>
        </w:rPr>
        <w:t>Garantizar el derecho de la ciudadanía y la sociedad civil a pedir cuentas, en ejercicio del control social a la gestión pública.</w:t>
      </w:r>
    </w:p>
    <w:p w:rsidR="005B39A3" w:rsidRPr="00BB533C" w:rsidRDefault="005B39A3" w:rsidP="00BB533C">
      <w:pPr>
        <w:pStyle w:val="Prrafodelista"/>
        <w:numPr>
          <w:ilvl w:val="0"/>
          <w:numId w:val="26"/>
        </w:numPr>
        <w:tabs>
          <w:tab w:val="left" w:pos="426"/>
        </w:tabs>
        <w:autoSpaceDE w:val="0"/>
        <w:autoSpaceDN w:val="0"/>
        <w:adjustRightInd w:val="0"/>
        <w:spacing w:after="0"/>
        <w:ind w:left="0" w:firstLine="0"/>
        <w:jc w:val="both"/>
        <w:rPr>
          <w:rFonts w:ascii="Arial" w:hAnsi="Arial" w:cs="Arial"/>
          <w:color w:val="000000"/>
          <w:sz w:val="24"/>
          <w:szCs w:val="24"/>
        </w:rPr>
      </w:pPr>
      <w:r w:rsidRPr="00BB533C">
        <w:rPr>
          <w:rFonts w:ascii="Arial" w:hAnsi="Arial" w:cs="Arial"/>
          <w:color w:val="000000"/>
          <w:sz w:val="24"/>
          <w:szCs w:val="24"/>
        </w:rPr>
        <w:t xml:space="preserve">Cumplir con la responsabilidad del Estado de </w:t>
      </w:r>
      <w:r w:rsidR="00B24D24">
        <w:rPr>
          <w:rFonts w:ascii="Arial" w:hAnsi="Arial" w:cs="Arial"/>
          <w:color w:val="000000"/>
          <w:sz w:val="24"/>
          <w:szCs w:val="24"/>
        </w:rPr>
        <w:t xml:space="preserve">rendir cuentas, de acuerdo con </w:t>
      </w:r>
      <w:r w:rsidRPr="00BB533C">
        <w:rPr>
          <w:rFonts w:ascii="Arial" w:hAnsi="Arial" w:cs="Arial"/>
          <w:color w:val="000000"/>
          <w:sz w:val="24"/>
          <w:szCs w:val="24"/>
        </w:rPr>
        <w:t>lo establecido en el Artículo 50, de la Ley 1757 de 2015.</w:t>
      </w:r>
    </w:p>
    <w:p w:rsidR="005B39A3" w:rsidRPr="00BB533C" w:rsidRDefault="005B39A3" w:rsidP="00BB533C">
      <w:pPr>
        <w:pStyle w:val="Prrafodelista"/>
        <w:numPr>
          <w:ilvl w:val="0"/>
          <w:numId w:val="26"/>
        </w:numPr>
        <w:tabs>
          <w:tab w:val="left" w:pos="426"/>
        </w:tabs>
        <w:autoSpaceDE w:val="0"/>
        <w:autoSpaceDN w:val="0"/>
        <w:adjustRightInd w:val="0"/>
        <w:spacing w:after="0"/>
        <w:ind w:left="0" w:firstLine="0"/>
        <w:jc w:val="both"/>
        <w:rPr>
          <w:rFonts w:ascii="Arial" w:hAnsi="Arial" w:cs="Arial"/>
          <w:color w:val="000000"/>
          <w:sz w:val="24"/>
          <w:szCs w:val="24"/>
        </w:rPr>
      </w:pPr>
      <w:r w:rsidRPr="00BB533C">
        <w:rPr>
          <w:rFonts w:ascii="Arial" w:hAnsi="Arial" w:cs="Arial"/>
          <w:color w:val="000000"/>
          <w:sz w:val="24"/>
          <w:szCs w:val="24"/>
        </w:rPr>
        <w:t>Aplicar correctivos y acciones de mejora, como resultado del reconocimiento de diversos actores institucionales o sociales en el marco de los avances y logros del proceso de rendición de cuentas.</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Para efectos de cumplir adecuadamente con el proceso de rendición de cuentas 2020, la AGR desarrollará las actividades señaladas en el componente 3 de su plan anticorrupción y de atención al ciudadano y tendrá como guía primaria el Manual Único de Rendición de Cuentas con enfoque basado en derechos humanos y paz, actualizado por el Departamento Administrativo de la Función Pública, en mayo de 2018.</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 xml:space="preserve">Para el desarrollo y control adecuado del ejercicio de rendición de cuentas, la AGR desarrollará diferentes actividades en las 5 etapas: el aprestamiento, el diseño, la preparación/capacitación, la ejecución y el seguimiento y evaluación. </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Estas etapas se desarrollan internamente a través de un cronograma de trabajo que determina las actividades, fechas y responsables de su ejecución. El cronograma de trabajo será puesto a conocimiento de la ciudadanía en el mes de febrero de 2020, una vez se apruebe el Plan Estratégico Institucional y se elaboren los Planes Operativos Anuales.</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Para el desarrollo de la estrategia de rendición de cuentas se consideraron principalmente los siguientes aspectos:</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pStyle w:val="Prrafodelista"/>
        <w:numPr>
          <w:ilvl w:val="0"/>
          <w:numId w:val="27"/>
        </w:numPr>
        <w:autoSpaceDE w:val="0"/>
        <w:autoSpaceDN w:val="0"/>
        <w:adjustRightInd w:val="0"/>
        <w:spacing w:after="0"/>
        <w:ind w:left="709" w:hanging="709"/>
        <w:jc w:val="both"/>
        <w:rPr>
          <w:rFonts w:ascii="Arial" w:hAnsi="Arial" w:cs="Arial"/>
          <w:i/>
          <w:color w:val="000000"/>
          <w:sz w:val="24"/>
          <w:szCs w:val="24"/>
        </w:rPr>
      </w:pPr>
      <w:r w:rsidRPr="00BB533C">
        <w:rPr>
          <w:rFonts w:ascii="Arial" w:hAnsi="Arial" w:cs="Arial"/>
          <w:i/>
          <w:color w:val="000000"/>
          <w:sz w:val="24"/>
          <w:szCs w:val="24"/>
        </w:rPr>
        <w:t>Continuar con la rendición de cuentas en el territorio.</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lastRenderedPageBreak/>
        <w:t xml:space="preserve">Para la vigencia 2020 se continuará con la realización de eventos de rendición de cuentas en todo el territorio nacional, realizando 9 eventos en las Gerencias Seccionales de la AGR. </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pStyle w:val="Prrafodelista"/>
        <w:numPr>
          <w:ilvl w:val="0"/>
          <w:numId w:val="27"/>
        </w:numPr>
        <w:autoSpaceDE w:val="0"/>
        <w:autoSpaceDN w:val="0"/>
        <w:adjustRightInd w:val="0"/>
        <w:spacing w:after="0"/>
        <w:ind w:left="709" w:hanging="709"/>
        <w:jc w:val="both"/>
        <w:rPr>
          <w:rFonts w:ascii="Arial" w:hAnsi="Arial" w:cs="Arial"/>
          <w:i/>
          <w:color w:val="000000"/>
          <w:sz w:val="24"/>
          <w:szCs w:val="24"/>
        </w:rPr>
      </w:pPr>
      <w:r w:rsidRPr="00BB533C">
        <w:rPr>
          <w:rFonts w:ascii="Arial" w:hAnsi="Arial" w:cs="Arial"/>
          <w:i/>
          <w:color w:val="000000"/>
          <w:sz w:val="24"/>
          <w:szCs w:val="24"/>
        </w:rPr>
        <w:t>Referente metodológico</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Para la vigencia 2020 se continuará utilizando como referente metodológico</w:t>
      </w:r>
      <w:r w:rsidR="00EC7645" w:rsidRPr="00BB533C">
        <w:rPr>
          <w:rFonts w:ascii="Arial" w:hAnsi="Arial" w:cs="Arial"/>
          <w:color w:val="000000"/>
          <w:sz w:val="24"/>
          <w:szCs w:val="24"/>
        </w:rPr>
        <w:t xml:space="preserve"> la segunda versión del Manual Ú</w:t>
      </w:r>
      <w:r w:rsidRPr="00BB533C">
        <w:rPr>
          <w:rFonts w:ascii="Arial" w:hAnsi="Arial" w:cs="Arial"/>
          <w:color w:val="000000"/>
          <w:sz w:val="24"/>
          <w:szCs w:val="24"/>
        </w:rPr>
        <w:t xml:space="preserve">nico de </w:t>
      </w:r>
      <w:r w:rsidR="00EC7645" w:rsidRPr="00BB533C">
        <w:rPr>
          <w:rFonts w:ascii="Arial" w:hAnsi="Arial" w:cs="Arial"/>
          <w:color w:val="000000"/>
          <w:sz w:val="24"/>
          <w:szCs w:val="24"/>
        </w:rPr>
        <w:t>R</w:t>
      </w:r>
      <w:r w:rsidRPr="00BB533C">
        <w:rPr>
          <w:rFonts w:ascii="Arial" w:hAnsi="Arial" w:cs="Arial"/>
          <w:color w:val="000000"/>
          <w:sz w:val="24"/>
          <w:szCs w:val="24"/>
        </w:rPr>
        <w:t xml:space="preserve">endición de </w:t>
      </w:r>
      <w:r w:rsidR="00EC7645" w:rsidRPr="00BB533C">
        <w:rPr>
          <w:rFonts w:ascii="Arial" w:hAnsi="Arial" w:cs="Arial"/>
          <w:color w:val="000000"/>
          <w:sz w:val="24"/>
          <w:szCs w:val="24"/>
        </w:rPr>
        <w:t>C</w:t>
      </w:r>
      <w:r w:rsidRPr="00BB533C">
        <w:rPr>
          <w:rFonts w:ascii="Arial" w:hAnsi="Arial" w:cs="Arial"/>
          <w:color w:val="000000"/>
          <w:sz w:val="24"/>
          <w:szCs w:val="24"/>
        </w:rPr>
        <w:t>uentas –MURC–, elaborado por el Departamento Administrativo de la Función Pública el cual incluye un enfoque basado en derechos humanos y paz, esta guía contiene las orientaciones y los lineamientos metodológicos para desarrollar los diferentes eventos de rendición de cuentas.</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 xml:space="preserve">De acuerdo con lo señalado en el –MURC- el cual contempla tres niveles de desarrollo de la rendición de cuentas, la AGR implementara la mayoría de las acciones que contiene </w:t>
      </w:r>
      <w:r w:rsidRPr="00BB533C">
        <w:rPr>
          <w:rFonts w:ascii="Arial" w:hAnsi="Arial" w:cs="Arial"/>
          <w:i/>
          <w:color w:val="000000"/>
          <w:sz w:val="24"/>
          <w:szCs w:val="24"/>
        </w:rPr>
        <w:t>el nivel de consolidación</w:t>
      </w:r>
      <w:r w:rsidRPr="00BB533C">
        <w:rPr>
          <w:rFonts w:ascii="Arial" w:hAnsi="Arial" w:cs="Arial"/>
          <w:color w:val="000000"/>
          <w:sz w:val="24"/>
          <w:szCs w:val="24"/>
        </w:rPr>
        <w:t>. La entidad cuenta con experiencia y se quiere continuar fortaleciendo su estrategia de rendición de cuentas.</w:t>
      </w: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 xml:space="preserve"> </w:t>
      </w:r>
    </w:p>
    <w:p w:rsidR="005B39A3" w:rsidRPr="00BB533C" w:rsidRDefault="005B39A3" w:rsidP="00BB533C">
      <w:pPr>
        <w:pStyle w:val="Prrafodelista"/>
        <w:numPr>
          <w:ilvl w:val="0"/>
          <w:numId w:val="27"/>
        </w:numPr>
        <w:autoSpaceDE w:val="0"/>
        <w:autoSpaceDN w:val="0"/>
        <w:adjustRightInd w:val="0"/>
        <w:spacing w:after="0"/>
        <w:ind w:left="709" w:hanging="709"/>
        <w:jc w:val="both"/>
        <w:rPr>
          <w:rFonts w:ascii="Arial" w:hAnsi="Arial" w:cs="Arial"/>
          <w:color w:val="000000"/>
          <w:sz w:val="24"/>
          <w:szCs w:val="24"/>
        </w:rPr>
      </w:pPr>
      <w:r w:rsidRPr="00BB533C">
        <w:rPr>
          <w:rFonts w:ascii="Arial" w:hAnsi="Arial" w:cs="Arial"/>
          <w:color w:val="000000"/>
          <w:sz w:val="24"/>
          <w:szCs w:val="24"/>
        </w:rPr>
        <w:t xml:space="preserve"> Aprendizaje organizacional</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La evaluación y seguimiento de los eventos de rendición de cuentas de vigencias anteriores y la identificación de mejores práctica en otras entidades, nos permite vincular acciones de mejora en la nueva estrategia 2020.</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Se tendrá en cuenta las sugerencias de mejora presentadas por la Oficina de Control Interno en la evaluación de la estrategia del año 2019.</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pStyle w:val="Prrafodelista"/>
        <w:numPr>
          <w:ilvl w:val="0"/>
          <w:numId w:val="27"/>
        </w:numPr>
        <w:autoSpaceDE w:val="0"/>
        <w:autoSpaceDN w:val="0"/>
        <w:adjustRightInd w:val="0"/>
        <w:spacing w:after="0"/>
        <w:ind w:left="709" w:hanging="709"/>
        <w:jc w:val="both"/>
        <w:rPr>
          <w:rFonts w:ascii="Arial" w:hAnsi="Arial" w:cs="Arial"/>
          <w:i/>
          <w:color w:val="000000"/>
          <w:sz w:val="24"/>
          <w:szCs w:val="24"/>
        </w:rPr>
      </w:pPr>
      <w:r w:rsidRPr="00BB533C">
        <w:rPr>
          <w:rFonts w:ascii="Arial" w:hAnsi="Arial" w:cs="Arial"/>
          <w:color w:val="000000"/>
          <w:sz w:val="24"/>
          <w:szCs w:val="24"/>
        </w:rPr>
        <w:t xml:space="preserve"> </w:t>
      </w:r>
      <w:r w:rsidRPr="00BB533C">
        <w:rPr>
          <w:rFonts w:ascii="Arial" w:hAnsi="Arial" w:cs="Arial"/>
          <w:i/>
          <w:color w:val="000000"/>
          <w:sz w:val="24"/>
          <w:szCs w:val="24"/>
        </w:rPr>
        <w:t>Compromiso de la Alta Dirección</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Se vincularan diferentes acciones debidamente armonizadas en el Plan Estratégico Institucional, el Plan de Promoción y Estímulos de la Participación Ciudadana y en el Plan Anticorrupción y de Atención al Ciudadano, relacionadas con la rendición de cuentas.</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T</w:t>
      </w:r>
      <w:r w:rsidR="00EC7645" w:rsidRPr="00BB533C">
        <w:rPr>
          <w:rFonts w:ascii="Arial" w:hAnsi="Arial" w:cs="Arial"/>
          <w:color w:val="000000"/>
          <w:sz w:val="24"/>
          <w:szCs w:val="24"/>
        </w:rPr>
        <w:t>eniendo en cuenta que mediante A</w:t>
      </w:r>
      <w:r w:rsidRPr="00BB533C">
        <w:rPr>
          <w:rFonts w:ascii="Arial" w:hAnsi="Arial" w:cs="Arial"/>
          <w:color w:val="000000"/>
          <w:sz w:val="24"/>
          <w:szCs w:val="24"/>
        </w:rPr>
        <w:t xml:space="preserve">cto </w:t>
      </w:r>
      <w:r w:rsidR="00EC7645" w:rsidRPr="00BB533C">
        <w:rPr>
          <w:rFonts w:ascii="Arial" w:hAnsi="Arial" w:cs="Arial"/>
          <w:color w:val="000000"/>
          <w:sz w:val="24"/>
          <w:szCs w:val="24"/>
        </w:rPr>
        <w:t>L</w:t>
      </w:r>
      <w:r w:rsidRPr="00BB533C">
        <w:rPr>
          <w:rFonts w:ascii="Arial" w:hAnsi="Arial" w:cs="Arial"/>
          <w:color w:val="000000"/>
          <w:sz w:val="24"/>
          <w:szCs w:val="24"/>
        </w:rPr>
        <w:t>egislativo 04 de 2019</w:t>
      </w:r>
      <w:r w:rsidR="00EC7645" w:rsidRPr="00BB533C">
        <w:rPr>
          <w:rFonts w:ascii="Arial" w:hAnsi="Arial" w:cs="Arial"/>
          <w:color w:val="000000"/>
          <w:sz w:val="24"/>
          <w:szCs w:val="24"/>
        </w:rPr>
        <w:t>,</w:t>
      </w:r>
      <w:r w:rsidRPr="00BB533C">
        <w:rPr>
          <w:rFonts w:ascii="Arial" w:hAnsi="Arial" w:cs="Arial"/>
          <w:color w:val="000000"/>
          <w:sz w:val="24"/>
          <w:szCs w:val="24"/>
        </w:rPr>
        <w:t xml:space="preserve"> se amplió a 4 años el periodo constitucional del Auditor General se dispuso que una de las prioridades </w:t>
      </w:r>
      <w:r w:rsidR="004A5B5F" w:rsidRPr="00BB533C">
        <w:rPr>
          <w:rFonts w:ascii="Arial" w:hAnsi="Arial" w:cs="Arial"/>
          <w:color w:val="000000"/>
          <w:sz w:val="24"/>
          <w:szCs w:val="24"/>
        </w:rPr>
        <w:t>sea</w:t>
      </w:r>
      <w:r w:rsidRPr="00BB533C">
        <w:rPr>
          <w:rFonts w:ascii="Arial" w:hAnsi="Arial" w:cs="Arial"/>
          <w:color w:val="000000"/>
          <w:sz w:val="24"/>
          <w:szCs w:val="24"/>
        </w:rPr>
        <w:t xml:space="preserve"> rendir cuentas a la sociedad colombiana con énfasis en el desarrollo normativo del mencionado acto legislativo.</w:t>
      </w: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lastRenderedPageBreak/>
        <w:t xml:space="preserve"> </w:t>
      </w: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 xml:space="preserve">Se continuará con el compromiso de rendir cuentas en el Nivel Central, a las Altas Cortes y los eventos regionales </w:t>
      </w:r>
      <w:proofErr w:type="gramStart"/>
      <w:r w:rsidRPr="00BB533C">
        <w:rPr>
          <w:rFonts w:ascii="Arial" w:hAnsi="Arial" w:cs="Arial"/>
          <w:color w:val="000000"/>
          <w:sz w:val="24"/>
          <w:szCs w:val="24"/>
        </w:rPr>
        <w:t>arriba</w:t>
      </w:r>
      <w:proofErr w:type="gramEnd"/>
      <w:r w:rsidRPr="00BB533C">
        <w:rPr>
          <w:rFonts w:ascii="Arial" w:hAnsi="Arial" w:cs="Arial"/>
          <w:color w:val="000000"/>
          <w:sz w:val="24"/>
          <w:szCs w:val="24"/>
        </w:rPr>
        <w:t xml:space="preserve"> enunciados.</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En el presupuesto asignado para el funcionamiento y algunos proyectos de inversión de la AGR se asignaran los recursos presupuestales necesarios para desarrollar las diferentes actividades programadas en la estrategia de rendición de cuentas.</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pStyle w:val="Prrafodelista"/>
        <w:numPr>
          <w:ilvl w:val="0"/>
          <w:numId w:val="27"/>
        </w:numPr>
        <w:autoSpaceDE w:val="0"/>
        <w:autoSpaceDN w:val="0"/>
        <w:adjustRightInd w:val="0"/>
        <w:spacing w:after="0"/>
        <w:ind w:left="709" w:hanging="709"/>
        <w:jc w:val="both"/>
        <w:rPr>
          <w:rFonts w:ascii="Arial" w:hAnsi="Arial" w:cs="Arial"/>
          <w:color w:val="000000"/>
          <w:sz w:val="24"/>
          <w:szCs w:val="24"/>
        </w:rPr>
      </w:pPr>
      <w:r w:rsidRPr="00BB533C">
        <w:rPr>
          <w:rFonts w:ascii="Arial" w:hAnsi="Arial" w:cs="Arial"/>
          <w:color w:val="000000"/>
          <w:sz w:val="24"/>
          <w:szCs w:val="24"/>
        </w:rPr>
        <w:t xml:space="preserve"> </w:t>
      </w:r>
      <w:r w:rsidRPr="00BB533C">
        <w:rPr>
          <w:rFonts w:ascii="Arial" w:hAnsi="Arial" w:cs="Arial"/>
          <w:i/>
          <w:color w:val="000000"/>
          <w:sz w:val="24"/>
          <w:szCs w:val="24"/>
        </w:rPr>
        <w:t>Articulación interinstitucional</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La AGR tiene identificado a las Contralorías del país como uno de los grupos de interés relevantes en la rendición de cuentas. La entidad adelanta acciones tendientes a invitar a las contralorías y en general a todos nuestros grupos de interés para que se vinculen activamente en la realización de procesos de rendición de cuentas.</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Adicionalmente, la AGR publicará mensajes enfocados a la prevención de la corrupción y el fortalecimiento de la transparencia a través de la página web y/o redes sociales.</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b/>
          <w:color w:val="000000"/>
          <w:sz w:val="24"/>
          <w:szCs w:val="24"/>
        </w:rPr>
      </w:pPr>
      <w:r w:rsidRPr="00BB533C">
        <w:rPr>
          <w:rFonts w:ascii="Arial" w:hAnsi="Arial" w:cs="Arial"/>
          <w:b/>
          <w:color w:val="000000"/>
          <w:sz w:val="24"/>
          <w:szCs w:val="24"/>
        </w:rPr>
        <w:t>Responsables de liderar la rendición de cuentas en la AGR</w:t>
      </w:r>
    </w:p>
    <w:p w:rsidR="005B39A3" w:rsidRPr="00BB533C" w:rsidRDefault="005B39A3" w:rsidP="00BB533C">
      <w:pPr>
        <w:autoSpaceDE w:val="0"/>
        <w:autoSpaceDN w:val="0"/>
        <w:adjustRightInd w:val="0"/>
        <w:spacing w:after="0"/>
        <w:jc w:val="both"/>
        <w:rPr>
          <w:rFonts w:ascii="Arial" w:hAnsi="Arial" w:cs="Arial"/>
          <w:b/>
          <w:color w:val="000000"/>
          <w:sz w:val="24"/>
          <w:szCs w:val="24"/>
        </w:rPr>
      </w:pP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 xml:space="preserve">La AGR reconoce que la responsabilidad y el liderazgo del proceso de rendición de cuentas está en cabeza del Señor Auditor General de la República, quien delega a la Auditoría Auxiliar para que coordine con todas las áreas misionales y administrativas el proceso de rendición de cuentas y garantice el buen desarrollo de la estrategia. </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autoSpaceDE w:val="0"/>
        <w:autoSpaceDN w:val="0"/>
        <w:adjustRightInd w:val="0"/>
        <w:spacing w:after="0"/>
        <w:jc w:val="both"/>
        <w:rPr>
          <w:rFonts w:ascii="Arial" w:hAnsi="Arial" w:cs="Arial"/>
          <w:color w:val="000000"/>
          <w:sz w:val="24"/>
          <w:szCs w:val="24"/>
        </w:rPr>
      </w:pPr>
      <w:r w:rsidRPr="00BB533C">
        <w:rPr>
          <w:rFonts w:ascii="Arial" w:hAnsi="Arial" w:cs="Arial"/>
          <w:color w:val="000000"/>
          <w:sz w:val="24"/>
          <w:szCs w:val="24"/>
        </w:rPr>
        <w:t xml:space="preserve">Todas las actividades que desarrollan la estrategia están vinculadas a los planes operativos anuales del Proceso de Orientación Institucional. </w:t>
      </w:r>
    </w:p>
    <w:p w:rsidR="005B39A3" w:rsidRPr="00BB533C" w:rsidRDefault="005B39A3" w:rsidP="00BB533C">
      <w:pPr>
        <w:autoSpaceDE w:val="0"/>
        <w:autoSpaceDN w:val="0"/>
        <w:adjustRightInd w:val="0"/>
        <w:spacing w:after="0"/>
        <w:jc w:val="both"/>
        <w:rPr>
          <w:rFonts w:ascii="Arial" w:hAnsi="Arial" w:cs="Arial"/>
          <w:color w:val="000000"/>
          <w:sz w:val="24"/>
          <w:szCs w:val="24"/>
        </w:rPr>
      </w:pPr>
    </w:p>
    <w:p w:rsidR="005B39A3" w:rsidRPr="00BB533C" w:rsidRDefault="005B39A3" w:rsidP="00BB533C">
      <w:pPr>
        <w:tabs>
          <w:tab w:val="right" w:pos="8838"/>
        </w:tabs>
        <w:autoSpaceDE w:val="0"/>
        <w:autoSpaceDN w:val="0"/>
        <w:adjustRightInd w:val="0"/>
        <w:spacing w:after="0"/>
        <w:jc w:val="both"/>
        <w:rPr>
          <w:rFonts w:ascii="Arial" w:hAnsi="Arial" w:cs="Arial"/>
          <w:b/>
          <w:sz w:val="24"/>
          <w:szCs w:val="24"/>
        </w:rPr>
      </w:pPr>
      <w:r w:rsidRPr="00BB533C">
        <w:rPr>
          <w:rFonts w:ascii="Arial" w:hAnsi="Arial" w:cs="Arial"/>
          <w:b/>
          <w:sz w:val="24"/>
          <w:szCs w:val="24"/>
        </w:rPr>
        <w:t>Divulgación de la Estrategia de Rendición de Cuentas de la AGR.</w:t>
      </w:r>
      <w:r w:rsidRPr="00BB533C">
        <w:rPr>
          <w:rFonts w:ascii="Arial" w:hAnsi="Arial" w:cs="Arial"/>
          <w:b/>
          <w:sz w:val="24"/>
          <w:szCs w:val="24"/>
        </w:rPr>
        <w:tab/>
      </w:r>
    </w:p>
    <w:p w:rsidR="005B39A3" w:rsidRPr="00BB533C" w:rsidRDefault="005B39A3" w:rsidP="00BB533C">
      <w:pPr>
        <w:tabs>
          <w:tab w:val="right" w:pos="8838"/>
        </w:tabs>
        <w:autoSpaceDE w:val="0"/>
        <w:autoSpaceDN w:val="0"/>
        <w:adjustRightInd w:val="0"/>
        <w:spacing w:after="0"/>
        <w:jc w:val="both"/>
        <w:rPr>
          <w:rFonts w:ascii="Arial" w:hAnsi="Arial" w:cs="Arial"/>
          <w:color w:val="000000"/>
          <w:sz w:val="24"/>
          <w:szCs w:val="24"/>
        </w:rPr>
      </w:pPr>
    </w:p>
    <w:p w:rsidR="005B39A3" w:rsidRPr="00BB533C" w:rsidRDefault="005B39A3" w:rsidP="00BB533C">
      <w:pPr>
        <w:jc w:val="both"/>
        <w:rPr>
          <w:rFonts w:ascii="Arial" w:hAnsi="Arial" w:cs="Arial"/>
          <w:sz w:val="24"/>
          <w:szCs w:val="24"/>
        </w:rPr>
      </w:pPr>
      <w:r w:rsidRPr="00BB533C">
        <w:rPr>
          <w:rFonts w:ascii="Arial" w:hAnsi="Arial" w:cs="Arial"/>
          <w:sz w:val="24"/>
          <w:szCs w:val="24"/>
        </w:rPr>
        <w:t xml:space="preserve">Se habilitará un link, en el sitio Web de la entidad (www.auditoria.gov.co); en este enlace se publicará toda la información relacionada con la estrategia, los eventos programados, el cronograma de rendición de cuentas, el reglamento, las invitaciones para participar en los eventos, el informe de gestión del periodo que se </w:t>
      </w:r>
      <w:r w:rsidRPr="00BB533C">
        <w:rPr>
          <w:rFonts w:ascii="Arial" w:hAnsi="Arial" w:cs="Arial"/>
          <w:sz w:val="24"/>
          <w:szCs w:val="24"/>
        </w:rPr>
        <w:lastRenderedPageBreak/>
        <w:t xml:space="preserve">rinde cuenta, el formato para realizar preguntas, los boletines de prensa, y otras publicaciones relacionadas con el tema. </w:t>
      </w:r>
    </w:p>
    <w:p w:rsidR="005B39A3" w:rsidRPr="00BB533C" w:rsidRDefault="005B39A3" w:rsidP="00BB533C">
      <w:pPr>
        <w:tabs>
          <w:tab w:val="left" w:pos="890"/>
        </w:tabs>
        <w:jc w:val="both"/>
        <w:rPr>
          <w:rFonts w:ascii="Arial" w:hAnsi="Arial" w:cs="Arial"/>
          <w:sz w:val="24"/>
          <w:szCs w:val="24"/>
        </w:rPr>
      </w:pPr>
      <w:r w:rsidRPr="00BB533C">
        <w:rPr>
          <w:rFonts w:ascii="Arial" w:hAnsi="Arial" w:cs="Arial"/>
          <w:sz w:val="24"/>
          <w:szCs w:val="24"/>
        </w:rPr>
        <w:t>La ciudadanía será invitada a participar y aportar ideas y sugerencias, a través de las redes sociales, sobre la construcción de la estrategia, los temas que desean se traten en los eventos de rendición de cuentas y sobre explicaciones del informe de gestión que presenta la AGR.</w:t>
      </w:r>
      <w:r w:rsidRPr="00BB533C">
        <w:rPr>
          <w:rFonts w:ascii="Arial" w:hAnsi="Arial" w:cs="Arial"/>
          <w:sz w:val="24"/>
          <w:szCs w:val="24"/>
        </w:rPr>
        <w:tab/>
      </w:r>
    </w:p>
    <w:p w:rsidR="005B39A3" w:rsidRPr="00BB533C" w:rsidRDefault="005B39A3" w:rsidP="00BB533C">
      <w:pPr>
        <w:jc w:val="both"/>
        <w:rPr>
          <w:rFonts w:ascii="Arial" w:hAnsi="Arial" w:cs="Arial"/>
          <w:sz w:val="24"/>
          <w:szCs w:val="24"/>
        </w:rPr>
      </w:pPr>
      <w:r w:rsidRPr="00BB533C">
        <w:rPr>
          <w:rFonts w:ascii="Arial" w:hAnsi="Arial" w:cs="Arial"/>
          <w:sz w:val="24"/>
          <w:szCs w:val="24"/>
        </w:rPr>
        <w:t>Con el fin de incentivar la participación ciudadana en los eventos de rendición de cuentas programados, se realizará la convocatoria a través de los siguientes medios:</w:t>
      </w:r>
    </w:p>
    <w:p w:rsidR="005B39A3" w:rsidRPr="00BB533C" w:rsidRDefault="005B39A3" w:rsidP="00BB533C">
      <w:pPr>
        <w:jc w:val="both"/>
        <w:rPr>
          <w:rFonts w:ascii="Arial" w:hAnsi="Arial" w:cs="Arial"/>
          <w:sz w:val="24"/>
          <w:szCs w:val="24"/>
        </w:rPr>
      </w:pPr>
      <w:r w:rsidRPr="00BB533C">
        <w:rPr>
          <w:rFonts w:ascii="Arial" w:hAnsi="Arial" w:cs="Arial"/>
          <w:sz w:val="24"/>
          <w:szCs w:val="24"/>
        </w:rPr>
        <w:t>A través de correo electrónico y físico se enviará la correspondiente invitación a todas las entidades del orden nacional; contralorías del país</w:t>
      </w:r>
      <w:r w:rsidR="00B24D24">
        <w:rPr>
          <w:rFonts w:ascii="Arial" w:hAnsi="Arial" w:cs="Arial"/>
          <w:sz w:val="24"/>
          <w:szCs w:val="24"/>
        </w:rPr>
        <w:t xml:space="preserve">, veedurías de control fiscal, </w:t>
      </w:r>
      <w:r w:rsidRPr="00BB533C">
        <w:rPr>
          <w:rFonts w:ascii="Arial" w:hAnsi="Arial" w:cs="Arial"/>
          <w:sz w:val="24"/>
          <w:szCs w:val="24"/>
        </w:rPr>
        <w:t>comunidad académica, Congreso de la República, Magistrados de Altas Cortes, ex auditores y ciudadanía en general; a través de la página web también se realizará proceso de invitación a la ciudadanía.</w:t>
      </w:r>
    </w:p>
    <w:p w:rsidR="005B39A3" w:rsidRPr="00BB533C" w:rsidRDefault="005B39A3" w:rsidP="00BB533C">
      <w:pPr>
        <w:jc w:val="both"/>
        <w:rPr>
          <w:rFonts w:ascii="Arial" w:hAnsi="Arial" w:cs="Arial"/>
          <w:sz w:val="24"/>
          <w:szCs w:val="24"/>
        </w:rPr>
      </w:pPr>
      <w:r w:rsidRPr="00BB533C">
        <w:rPr>
          <w:rFonts w:ascii="Arial" w:hAnsi="Arial" w:cs="Arial"/>
          <w:sz w:val="24"/>
          <w:szCs w:val="24"/>
        </w:rPr>
        <w:t>En las carteleras digitales de la AGR, se mostraran avisos con la invitación a participar en la audiencia pública de rendición de cuentas, en los cuales se indique la hora y lugar de la reunión, así como el sitio donde se puede consultar la información relativa a la rendición.</w:t>
      </w:r>
    </w:p>
    <w:p w:rsidR="005B39A3" w:rsidRPr="00BB533C" w:rsidRDefault="005B39A3" w:rsidP="00BB533C">
      <w:pPr>
        <w:jc w:val="both"/>
        <w:rPr>
          <w:rFonts w:ascii="Arial" w:hAnsi="Arial" w:cs="Arial"/>
          <w:sz w:val="24"/>
          <w:szCs w:val="24"/>
        </w:rPr>
      </w:pPr>
      <w:r w:rsidRPr="00BB533C">
        <w:rPr>
          <w:rFonts w:ascii="Arial" w:hAnsi="Arial" w:cs="Arial"/>
          <w:sz w:val="24"/>
          <w:szCs w:val="24"/>
        </w:rPr>
        <w:t>En las redes sociales se le informará a la comunidad cómo participar con propuestas, inquietudes y sugerencias; así mismo, se les indicará el día, sitio y hora de realización de la audiencia. Las redes sociales están habilitadas de manera permanente.</w:t>
      </w:r>
    </w:p>
    <w:p w:rsidR="005B39A3" w:rsidRPr="00BB533C" w:rsidRDefault="005B39A3" w:rsidP="00BB533C">
      <w:pPr>
        <w:jc w:val="both"/>
        <w:rPr>
          <w:rFonts w:ascii="Arial" w:hAnsi="Arial" w:cs="Arial"/>
          <w:b/>
          <w:sz w:val="24"/>
          <w:szCs w:val="24"/>
        </w:rPr>
      </w:pPr>
      <w:r w:rsidRPr="00BB533C">
        <w:rPr>
          <w:rFonts w:ascii="Arial" w:hAnsi="Arial" w:cs="Arial"/>
          <w:sz w:val="24"/>
          <w:szCs w:val="24"/>
        </w:rPr>
        <w:t xml:space="preserve">La Auditoría General de la República cuenta con un correo electrónico donde la ciudadanía puede interactuar en lo relacionado con el proceso de rendición de cuentas: </w:t>
      </w:r>
      <w:hyperlink r:id="rId8" w:history="1">
        <w:r w:rsidRPr="00BB533C">
          <w:rPr>
            <w:rStyle w:val="Hipervnculo"/>
            <w:rFonts w:ascii="Arial" w:hAnsi="Arial" w:cs="Arial"/>
            <w:b/>
            <w:sz w:val="24"/>
            <w:szCs w:val="24"/>
          </w:rPr>
          <w:t>rendiciondecuentas@auditoria.gov.co</w:t>
        </w:r>
      </w:hyperlink>
    </w:p>
    <w:p w:rsidR="005B39A3" w:rsidRPr="00BB533C" w:rsidRDefault="005B39A3" w:rsidP="00BB533C">
      <w:pPr>
        <w:jc w:val="both"/>
        <w:rPr>
          <w:rFonts w:ascii="Arial" w:hAnsi="Arial" w:cs="Arial"/>
          <w:b/>
          <w:sz w:val="24"/>
          <w:szCs w:val="24"/>
        </w:rPr>
      </w:pPr>
      <w:r w:rsidRPr="00BB533C">
        <w:rPr>
          <w:rFonts w:ascii="Arial" w:hAnsi="Arial" w:cs="Arial"/>
          <w:b/>
          <w:sz w:val="24"/>
          <w:szCs w:val="24"/>
        </w:rPr>
        <w:t>Evaluación y seguimiento de la estrategia de rendición de cuentas.</w:t>
      </w:r>
    </w:p>
    <w:p w:rsidR="005B39A3" w:rsidRPr="00BB533C" w:rsidRDefault="005B39A3" w:rsidP="00BB533C">
      <w:pPr>
        <w:jc w:val="both"/>
        <w:rPr>
          <w:rFonts w:ascii="Arial" w:hAnsi="Arial" w:cs="Arial"/>
          <w:sz w:val="24"/>
          <w:szCs w:val="24"/>
        </w:rPr>
      </w:pPr>
      <w:r w:rsidRPr="00BB533C">
        <w:rPr>
          <w:rFonts w:ascii="Arial" w:hAnsi="Arial" w:cs="Arial"/>
          <w:sz w:val="24"/>
          <w:szCs w:val="24"/>
        </w:rPr>
        <w:t>La evaluación y seguimiento de la estrategia de rendición de cuentas de la AGR para la vigencia 2020 se desarrollara así:</w:t>
      </w:r>
    </w:p>
    <w:p w:rsidR="005B39A3" w:rsidRPr="00BB533C" w:rsidRDefault="005B39A3" w:rsidP="00BB533C">
      <w:pPr>
        <w:pStyle w:val="Prrafodelista"/>
        <w:numPr>
          <w:ilvl w:val="0"/>
          <w:numId w:val="28"/>
        </w:numPr>
        <w:jc w:val="both"/>
        <w:rPr>
          <w:rFonts w:ascii="Arial" w:hAnsi="Arial" w:cs="Arial"/>
          <w:sz w:val="24"/>
          <w:szCs w:val="24"/>
        </w:rPr>
      </w:pPr>
      <w:r w:rsidRPr="00BB533C">
        <w:rPr>
          <w:rFonts w:ascii="Arial" w:hAnsi="Arial" w:cs="Arial"/>
          <w:sz w:val="24"/>
          <w:szCs w:val="24"/>
        </w:rPr>
        <w:t>Seguimiento al cronograma de trabajo por parte del Auditor Auxiliar en el Comité Institucional de Gestión y Desempeño.</w:t>
      </w:r>
    </w:p>
    <w:p w:rsidR="005B39A3" w:rsidRPr="00BB533C" w:rsidRDefault="005B39A3" w:rsidP="00BB533C">
      <w:pPr>
        <w:pStyle w:val="Prrafodelista"/>
        <w:numPr>
          <w:ilvl w:val="0"/>
          <w:numId w:val="28"/>
        </w:numPr>
        <w:jc w:val="both"/>
        <w:rPr>
          <w:rFonts w:ascii="Arial" w:hAnsi="Arial" w:cs="Arial"/>
          <w:sz w:val="24"/>
          <w:szCs w:val="24"/>
        </w:rPr>
      </w:pPr>
      <w:r w:rsidRPr="00BB533C">
        <w:rPr>
          <w:rFonts w:ascii="Arial" w:hAnsi="Arial" w:cs="Arial"/>
          <w:sz w:val="24"/>
          <w:szCs w:val="24"/>
        </w:rPr>
        <w:lastRenderedPageBreak/>
        <w:t>Evaluación de la contribución de la estrategia de rendición de cuentas a la gestión de la entidad al cierre de la vigencia por parte del Comité Institucional de Gestión y Desempeño.</w:t>
      </w:r>
    </w:p>
    <w:p w:rsidR="005B39A3" w:rsidRPr="00BB533C" w:rsidRDefault="005B39A3" w:rsidP="00BB533C">
      <w:pPr>
        <w:pStyle w:val="Prrafodelista"/>
        <w:numPr>
          <w:ilvl w:val="0"/>
          <w:numId w:val="28"/>
        </w:numPr>
        <w:jc w:val="both"/>
        <w:rPr>
          <w:rFonts w:ascii="Arial" w:hAnsi="Arial" w:cs="Arial"/>
          <w:sz w:val="24"/>
          <w:szCs w:val="24"/>
        </w:rPr>
      </w:pPr>
      <w:r w:rsidRPr="00BB533C">
        <w:rPr>
          <w:rFonts w:ascii="Arial" w:hAnsi="Arial" w:cs="Arial"/>
          <w:sz w:val="24"/>
          <w:szCs w:val="24"/>
        </w:rPr>
        <w:t>Informe de evaluación a la estrategia por parte de la Oficina de Control Interno.</w:t>
      </w:r>
    </w:p>
    <w:p w:rsidR="005B39A3" w:rsidRPr="00BB533C" w:rsidRDefault="005B39A3" w:rsidP="00BB533C">
      <w:pPr>
        <w:pStyle w:val="Prrafodelista"/>
        <w:numPr>
          <w:ilvl w:val="0"/>
          <w:numId w:val="28"/>
        </w:numPr>
        <w:jc w:val="both"/>
        <w:rPr>
          <w:rFonts w:ascii="Arial" w:hAnsi="Arial" w:cs="Arial"/>
          <w:sz w:val="24"/>
          <w:szCs w:val="24"/>
        </w:rPr>
      </w:pPr>
      <w:r w:rsidRPr="00BB533C">
        <w:rPr>
          <w:rFonts w:ascii="Arial" w:hAnsi="Arial" w:cs="Arial"/>
          <w:sz w:val="24"/>
          <w:szCs w:val="24"/>
        </w:rPr>
        <w:t>Seguimiento a los compromisos adquiridos en los espacios de rendición de cuentas con los grupos de valor y de interés.</w:t>
      </w:r>
    </w:p>
    <w:p w:rsidR="005B39A3" w:rsidRPr="00BB533C" w:rsidRDefault="005B39A3" w:rsidP="00BB533C">
      <w:pPr>
        <w:pStyle w:val="Prrafodelista"/>
        <w:numPr>
          <w:ilvl w:val="0"/>
          <w:numId w:val="28"/>
        </w:numPr>
        <w:jc w:val="both"/>
        <w:rPr>
          <w:rFonts w:ascii="Arial" w:hAnsi="Arial" w:cs="Arial"/>
          <w:sz w:val="24"/>
          <w:szCs w:val="24"/>
        </w:rPr>
      </w:pPr>
      <w:r w:rsidRPr="00BB533C">
        <w:rPr>
          <w:rFonts w:ascii="Arial" w:hAnsi="Arial" w:cs="Arial"/>
          <w:sz w:val="24"/>
          <w:szCs w:val="24"/>
        </w:rPr>
        <w:t>Aplicación de encuestas para la medición de satisfacción de los usuarios participantes en los eventos programados.</w:t>
      </w:r>
    </w:p>
    <w:p w:rsidR="005B39A3" w:rsidRPr="00BB533C" w:rsidRDefault="005B39A3" w:rsidP="00BB533C">
      <w:pPr>
        <w:pStyle w:val="Prrafodelista"/>
        <w:rPr>
          <w:rFonts w:ascii="Arial" w:hAnsi="Arial" w:cs="Arial"/>
          <w:sz w:val="24"/>
          <w:szCs w:val="24"/>
        </w:rPr>
      </w:pPr>
    </w:p>
    <w:p w:rsidR="005B39A3" w:rsidRPr="00BB533C" w:rsidRDefault="005B39A3" w:rsidP="00BB533C">
      <w:pPr>
        <w:jc w:val="both"/>
        <w:rPr>
          <w:rFonts w:ascii="Arial" w:hAnsi="Arial" w:cs="Arial"/>
          <w:sz w:val="24"/>
          <w:szCs w:val="24"/>
        </w:rPr>
      </w:pPr>
    </w:p>
    <w:p w:rsidR="005B39A3" w:rsidRPr="00BB533C" w:rsidRDefault="005B39A3" w:rsidP="00BB533C">
      <w:pPr>
        <w:jc w:val="both"/>
        <w:rPr>
          <w:rFonts w:ascii="Arial" w:hAnsi="Arial" w:cs="Arial"/>
          <w:color w:val="FF0000"/>
          <w:sz w:val="24"/>
          <w:szCs w:val="24"/>
        </w:rPr>
        <w:sectPr w:rsidR="005B39A3" w:rsidRPr="00BB533C" w:rsidSect="002C7B0A">
          <w:headerReference w:type="even" r:id="rId9"/>
          <w:headerReference w:type="default" r:id="rId10"/>
          <w:footerReference w:type="default" r:id="rId11"/>
          <w:footerReference w:type="first" r:id="rId12"/>
          <w:pgSz w:w="12240" w:h="15840" w:code="1"/>
          <w:pgMar w:top="1276" w:right="1701" w:bottom="1418" w:left="1701" w:header="567" w:footer="567" w:gutter="0"/>
          <w:cols w:space="708"/>
          <w:docGrid w:linePitch="360"/>
        </w:sectPr>
      </w:pPr>
    </w:p>
    <w:tbl>
      <w:tblPr>
        <w:tblW w:w="13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57"/>
        <w:gridCol w:w="567"/>
        <w:gridCol w:w="3969"/>
        <w:gridCol w:w="1559"/>
        <w:gridCol w:w="2127"/>
        <w:gridCol w:w="1701"/>
        <w:gridCol w:w="1051"/>
        <w:gridCol w:w="1276"/>
      </w:tblGrid>
      <w:tr w:rsidR="005B39A3" w:rsidRPr="001D57C0" w:rsidTr="00D06EF3">
        <w:trPr>
          <w:trHeight w:val="77"/>
          <w:tblHeader/>
          <w:jc w:val="center"/>
        </w:trPr>
        <w:tc>
          <w:tcPr>
            <w:tcW w:w="13907" w:type="dxa"/>
            <w:gridSpan w:val="8"/>
            <w:shd w:val="clear" w:color="auto" w:fill="BFBFBF" w:themeFill="background1" w:themeFillShade="BF"/>
            <w:vAlign w:val="center"/>
            <w:hideMark/>
          </w:tcPr>
          <w:p w:rsidR="005B39A3" w:rsidRPr="00805AAB" w:rsidRDefault="005B39A3" w:rsidP="00805AAB">
            <w:pPr>
              <w:jc w:val="center"/>
            </w:pPr>
            <w:bookmarkStart w:id="1" w:name="_Toc27382705"/>
            <w:r w:rsidRPr="00805AAB">
              <w:rPr>
                <w:sz w:val="24"/>
              </w:rPr>
              <w:lastRenderedPageBreak/>
              <w:t>Rendición de Cuentas</w:t>
            </w:r>
            <w:bookmarkEnd w:id="1"/>
          </w:p>
        </w:tc>
      </w:tr>
      <w:tr w:rsidR="005B39A3" w:rsidRPr="001D57C0" w:rsidTr="00B24D24">
        <w:trPr>
          <w:trHeight w:val="77"/>
          <w:tblHeader/>
          <w:jc w:val="center"/>
        </w:trPr>
        <w:tc>
          <w:tcPr>
            <w:tcW w:w="1657" w:type="dxa"/>
            <w:vMerge w:val="restart"/>
            <w:shd w:val="clear" w:color="auto" w:fill="BFBFBF" w:themeFill="background1" w:themeFillShade="BF"/>
            <w:vAlign w:val="center"/>
            <w:hideMark/>
          </w:tcPr>
          <w:p w:rsidR="005B39A3" w:rsidRPr="001D57C0" w:rsidRDefault="005B39A3" w:rsidP="001D57C0">
            <w:pPr>
              <w:spacing w:after="0" w:line="240" w:lineRule="auto"/>
              <w:jc w:val="center"/>
              <w:rPr>
                <w:rFonts w:ascii="Arial" w:eastAsia="Times New Roman" w:hAnsi="Arial" w:cs="Arial"/>
                <w:b/>
                <w:sz w:val="18"/>
                <w:szCs w:val="18"/>
                <w:lang w:val="es-MX" w:eastAsia="es-MX"/>
              </w:rPr>
            </w:pPr>
            <w:r w:rsidRPr="001D57C0">
              <w:rPr>
                <w:rFonts w:ascii="Arial" w:eastAsia="Times New Roman" w:hAnsi="Arial" w:cs="Arial"/>
                <w:b/>
                <w:sz w:val="18"/>
                <w:szCs w:val="18"/>
                <w:lang w:val="es-MX" w:eastAsia="es-MX"/>
              </w:rPr>
              <w:t>Subcomponente</w:t>
            </w:r>
          </w:p>
        </w:tc>
        <w:tc>
          <w:tcPr>
            <w:tcW w:w="4536" w:type="dxa"/>
            <w:gridSpan w:val="2"/>
            <w:vMerge w:val="restart"/>
            <w:shd w:val="clear" w:color="auto" w:fill="BFBFBF" w:themeFill="background1" w:themeFillShade="BF"/>
            <w:vAlign w:val="center"/>
            <w:hideMark/>
          </w:tcPr>
          <w:p w:rsidR="005B39A3" w:rsidRPr="001D57C0" w:rsidRDefault="005B39A3" w:rsidP="001D57C0">
            <w:pPr>
              <w:spacing w:after="0" w:line="240" w:lineRule="auto"/>
              <w:jc w:val="center"/>
              <w:rPr>
                <w:rFonts w:ascii="Arial" w:eastAsia="Times New Roman" w:hAnsi="Arial" w:cs="Arial"/>
                <w:b/>
                <w:sz w:val="18"/>
                <w:szCs w:val="18"/>
                <w:lang w:val="es-MX" w:eastAsia="es-MX"/>
              </w:rPr>
            </w:pPr>
            <w:r w:rsidRPr="001D57C0">
              <w:rPr>
                <w:rFonts w:ascii="Arial" w:eastAsia="Times New Roman" w:hAnsi="Arial" w:cs="Arial"/>
                <w:b/>
                <w:sz w:val="18"/>
                <w:szCs w:val="18"/>
                <w:lang w:val="es-MX" w:eastAsia="es-MX"/>
              </w:rPr>
              <w:t>Actividades</w:t>
            </w:r>
          </w:p>
        </w:tc>
        <w:tc>
          <w:tcPr>
            <w:tcW w:w="1559" w:type="dxa"/>
            <w:vMerge w:val="restart"/>
            <w:shd w:val="clear" w:color="auto" w:fill="BFBFBF" w:themeFill="background1" w:themeFillShade="BF"/>
            <w:vAlign w:val="center"/>
            <w:hideMark/>
          </w:tcPr>
          <w:p w:rsidR="005B39A3" w:rsidRPr="001D57C0" w:rsidRDefault="005B39A3" w:rsidP="001D57C0">
            <w:pPr>
              <w:spacing w:after="0" w:line="240" w:lineRule="auto"/>
              <w:jc w:val="center"/>
              <w:rPr>
                <w:rFonts w:ascii="Arial" w:eastAsia="Times New Roman" w:hAnsi="Arial" w:cs="Arial"/>
                <w:b/>
                <w:sz w:val="18"/>
                <w:szCs w:val="18"/>
                <w:lang w:val="es-MX" w:eastAsia="es-MX"/>
              </w:rPr>
            </w:pPr>
            <w:r w:rsidRPr="001D57C0">
              <w:rPr>
                <w:rFonts w:ascii="Arial" w:eastAsia="Times New Roman" w:hAnsi="Arial" w:cs="Arial"/>
                <w:b/>
                <w:sz w:val="18"/>
                <w:szCs w:val="18"/>
                <w:lang w:val="es-MX" w:eastAsia="es-MX"/>
              </w:rPr>
              <w:t>Meta o producto</w:t>
            </w:r>
          </w:p>
        </w:tc>
        <w:tc>
          <w:tcPr>
            <w:tcW w:w="2127" w:type="dxa"/>
            <w:vMerge w:val="restart"/>
            <w:shd w:val="clear" w:color="auto" w:fill="BFBFBF" w:themeFill="background1" w:themeFillShade="BF"/>
            <w:vAlign w:val="center"/>
            <w:hideMark/>
          </w:tcPr>
          <w:p w:rsidR="005B39A3" w:rsidRPr="001D57C0" w:rsidRDefault="005B39A3" w:rsidP="001D57C0">
            <w:pPr>
              <w:spacing w:after="0" w:line="240" w:lineRule="auto"/>
              <w:jc w:val="center"/>
              <w:rPr>
                <w:rFonts w:ascii="Arial" w:eastAsia="Times New Roman" w:hAnsi="Arial" w:cs="Arial"/>
                <w:b/>
                <w:sz w:val="18"/>
                <w:szCs w:val="18"/>
                <w:lang w:val="es-MX" w:eastAsia="es-MX"/>
              </w:rPr>
            </w:pPr>
            <w:r w:rsidRPr="001D57C0">
              <w:rPr>
                <w:rFonts w:ascii="Arial" w:eastAsia="Times New Roman" w:hAnsi="Arial" w:cs="Arial"/>
                <w:b/>
                <w:sz w:val="18"/>
                <w:szCs w:val="18"/>
                <w:lang w:val="es-MX" w:eastAsia="es-MX"/>
              </w:rPr>
              <w:t>Recursos y fuente de recursos</w:t>
            </w:r>
          </w:p>
        </w:tc>
        <w:tc>
          <w:tcPr>
            <w:tcW w:w="1701" w:type="dxa"/>
            <w:vMerge w:val="restart"/>
            <w:shd w:val="clear" w:color="auto" w:fill="BFBFBF" w:themeFill="background1" w:themeFillShade="BF"/>
            <w:vAlign w:val="center"/>
            <w:hideMark/>
          </w:tcPr>
          <w:p w:rsidR="005B39A3" w:rsidRPr="001D57C0" w:rsidRDefault="005B39A3" w:rsidP="001D57C0">
            <w:pPr>
              <w:spacing w:after="0" w:line="240" w:lineRule="auto"/>
              <w:jc w:val="center"/>
              <w:rPr>
                <w:rFonts w:ascii="Arial" w:eastAsia="Times New Roman" w:hAnsi="Arial" w:cs="Arial"/>
                <w:b/>
                <w:sz w:val="18"/>
                <w:szCs w:val="18"/>
                <w:lang w:val="es-MX" w:eastAsia="es-MX"/>
              </w:rPr>
            </w:pPr>
            <w:r w:rsidRPr="001D57C0">
              <w:rPr>
                <w:rFonts w:ascii="Arial" w:eastAsia="Times New Roman" w:hAnsi="Arial" w:cs="Arial"/>
                <w:b/>
                <w:sz w:val="18"/>
                <w:szCs w:val="18"/>
                <w:lang w:val="es-MX" w:eastAsia="es-MX"/>
              </w:rPr>
              <w:t>Responsable</w:t>
            </w:r>
          </w:p>
        </w:tc>
        <w:tc>
          <w:tcPr>
            <w:tcW w:w="2327" w:type="dxa"/>
            <w:gridSpan w:val="2"/>
            <w:shd w:val="clear" w:color="auto" w:fill="BFBFBF" w:themeFill="background1" w:themeFillShade="BF"/>
            <w:vAlign w:val="center"/>
            <w:hideMark/>
          </w:tcPr>
          <w:p w:rsidR="005B39A3" w:rsidRPr="001D57C0" w:rsidRDefault="005B39A3" w:rsidP="001D57C0">
            <w:pPr>
              <w:spacing w:after="0" w:line="240" w:lineRule="auto"/>
              <w:jc w:val="center"/>
              <w:rPr>
                <w:rFonts w:ascii="Arial" w:eastAsia="Times New Roman" w:hAnsi="Arial" w:cs="Arial"/>
                <w:b/>
                <w:sz w:val="18"/>
                <w:szCs w:val="18"/>
                <w:lang w:val="es-MX" w:eastAsia="es-MX"/>
              </w:rPr>
            </w:pPr>
            <w:r w:rsidRPr="001D57C0">
              <w:rPr>
                <w:rFonts w:ascii="Arial" w:eastAsia="Times New Roman" w:hAnsi="Arial" w:cs="Arial"/>
                <w:b/>
                <w:sz w:val="18"/>
                <w:szCs w:val="18"/>
                <w:lang w:val="es-MX" w:eastAsia="es-MX"/>
              </w:rPr>
              <w:t>Fecha programada</w:t>
            </w:r>
          </w:p>
        </w:tc>
      </w:tr>
      <w:tr w:rsidR="005B39A3" w:rsidRPr="001D57C0" w:rsidTr="00B24D24">
        <w:trPr>
          <w:trHeight w:val="315"/>
          <w:tblHeader/>
          <w:jc w:val="center"/>
        </w:trPr>
        <w:tc>
          <w:tcPr>
            <w:tcW w:w="1657" w:type="dxa"/>
            <w:vMerge/>
            <w:shd w:val="clear" w:color="auto" w:fill="BFBFBF" w:themeFill="background1" w:themeFillShade="BF"/>
            <w:vAlign w:val="center"/>
            <w:hideMark/>
          </w:tcPr>
          <w:p w:rsidR="005B39A3" w:rsidRPr="001D57C0" w:rsidRDefault="005B39A3" w:rsidP="001D57C0">
            <w:pPr>
              <w:spacing w:after="0" w:line="240" w:lineRule="auto"/>
              <w:rPr>
                <w:rFonts w:ascii="Arial" w:eastAsia="Times New Roman" w:hAnsi="Arial" w:cs="Arial"/>
                <w:b/>
                <w:sz w:val="18"/>
                <w:szCs w:val="18"/>
                <w:lang w:val="es-MX" w:eastAsia="es-MX"/>
              </w:rPr>
            </w:pPr>
          </w:p>
        </w:tc>
        <w:tc>
          <w:tcPr>
            <w:tcW w:w="4536" w:type="dxa"/>
            <w:gridSpan w:val="2"/>
            <w:vMerge/>
            <w:shd w:val="clear" w:color="auto" w:fill="BFBFBF" w:themeFill="background1" w:themeFillShade="BF"/>
            <w:vAlign w:val="center"/>
            <w:hideMark/>
          </w:tcPr>
          <w:p w:rsidR="005B39A3" w:rsidRPr="001D57C0" w:rsidRDefault="005B39A3" w:rsidP="001D57C0">
            <w:pPr>
              <w:spacing w:after="0" w:line="240" w:lineRule="auto"/>
              <w:rPr>
                <w:rFonts w:ascii="Arial" w:eastAsia="Times New Roman" w:hAnsi="Arial" w:cs="Arial"/>
                <w:b/>
                <w:sz w:val="18"/>
                <w:szCs w:val="18"/>
                <w:lang w:val="es-MX" w:eastAsia="es-MX"/>
              </w:rPr>
            </w:pPr>
          </w:p>
        </w:tc>
        <w:tc>
          <w:tcPr>
            <w:tcW w:w="1559" w:type="dxa"/>
            <w:vMerge/>
            <w:shd w:val="clear" w:color="auto" w:fill="BFBFBF" w:themeFill="background1" w:themeFillShade="BF"/>
            <w:vAlign w:val="center"/>
            <w:hideMark/>
          </w:tcPr>
          <w:p w:rsidR="005B39A3" w:rsidRPr="001D57C0" w:rsidRDefault="005B39A3" w:rsidP="001D57C0">
            <w:pPr>
              <w:spacing w:after="0" w:line="240" w:lineRule="auto"/>
              <w:rPr>
                <w:rFonts w:ascii="Arial" w:eastAsia="Times New Roman" w:hAnsi="Arial" w:cs="Arial"/>
                <w:b/>
                <w:sz w:val="18"/>
                <w:szCs w:val="18"/>
                <w:lang w:val="es-MX" w:eastAsia="es-MX"/>
              </w:rPr>
            </w:pPr>
          </w:p>
        </w:tc>
        <w:tc>
          <w:tcPr>
            <w:tcW w:w="2127" w:type="dxa"/>
            <w:vMerge/>
            <w:shd w:val="clear" w:color="auto" w:fill="BFBFBF" w:themeFill="background1" w:themeFillShade="BF"/>
            <w:vAlign w:val="center"/>
            <w:hideMark/>
          </w:tcPr>
          <w:p w:rsidR="005B39A3" w:rsidRPr="001D57C0" w:rsidRDefault="005B39A3" w:rsidP="001D57C0">
            <w:pPr>
              <w:spacing w:after="0" w:line="240" w:lineRule="auto"/>
              <w:rPr>
                <w:rFonts w:ascii="Arial" w:eastAsia="Times New Roman" w:hAnsi="Arial" w:cs="Arial"/>
                <w:b/>
                <w:sz w:val="18"/>
                <w:szCs w:val="18"/>
                <w:lang w:val="es-MX" w:eastAsia="es-MX"/>
              </w:rPr>
            </w:pPr>
          </w:p>
        </w:tc>
        <w:tc>
          <w:tcPr>
            <w:tcW w:w="1701" w:type="dxa"/>
            <w:vMerge/>
            <w:shd w:val="clear" w:color="auto" w:fill="BFBFBF" w:themeFill="background1" w:themeFillShade="BF"/>
            <w:vAlign w:val="center"/>
            <w:hideMark/>
          </w:tcPr>
          <w:p w:rsidR="005B39A3" w:rsidRPr="001D57C0" w:rsidRDefault="005B39A3" w:rsidP="001D57C0">
            <w:pPr>
              <w:spacing w:after="0" w:line="240" w:lineRule="auto"/>
              <w:rPr>
                <w:rFonts w:ascii="Arial" w:eastAsia="Times New Roman" w:hAnsi="Arial" w:cs="Arial"/>
                <w:b/>
                <w:sz w:val="18"/>
                <w:szCs w:val="18"/>
                <w:lang w:val="es-MX" w:eastAsia="es-MX"/>
              </w:rPr>
            </w:pPr>
          </w:p>
        </w:tc>
        <w:tc>
          <w:tcPr>
            <w:tcW w:w="1051" w:type="dxa"/>
            <w:shd w:val="clear" w:color="auto" w:fill="BFBFBF" w:themeFill="background1" w:themeFillShade="BF"/>
            <w:vAlign w:val="center"/>
            <w:hideMark/>
          </w:tcPr>
          <w:p w:rsidR="005B39A3" w:rsidRPr="001D57C0" w:rsidRDefault="005B39A3" w:rsidP="001D57C0">
            <w:pPr>
              <w:spacing w:after="0" w:line="240" w:lineRule="auto"/>
              <w:jc w:val="center"/>
              <w:rPr>
                <w:rFonts w:ascii="Arial" w:eastAsia="Times New Roman" w:hAnsi="Arial" w:cs="Arial"/>
                <w:b/>
                <w:sz w:val="18"/>
                <w:szCs w:val="18"/>
                <w:lang w:val="es-MX" w:eastAsia="es-MX"/>
              </w:rPr>
            </w:pPr>
            <w:r w:rsidRPr="001D57C0">
              <w:rPr>
                <w:rFonts w:ascii="Arial" w:eastAsia="Times New Roman" w:hAnsi="Arial" w:cs="Arial"/>
                <w:b/>
                <w:sz w:val="18"/>
                <w:szCs w:val="18"/>
                <w:lang w:val="es-MX" w:eastAsia="es-MX"/>
              </w:rPr>
              <w:t>Inicio</w:t>
            </w:r>
          </w:p>
        </w:tc>
        <w:tc>
          <w:tcPr>
            <w:tcW w:w="1276" w:type="dxa"/>
            <w:shd w:val="clear" w:color="auto" w:fill="BFBFBF" w:themeFill="background1" w:themeFillShade="BF"/>
            <w:vAlign w:val="center"/>
            <w:hideMark/>
          </w:tcPr>
          <w:p w:rsidR="005B39A3" w:rsidRPr="001D57C0" w:rsidRDefault="005B39A3" w:rsidP="001D57C0">
            <w:pPr>
              <w:spacing w:after="0" w:line="240" w:lineRule="auto"/>
              <w:jc w:val="center"/>
              <w:rPr>
                <w:rFonts w:ascii="Arial" w:eastAsia="Times New Roman" w:hAnsi="Arial" w:cs="Arial"/>
                <w:b/>
                <w:sz w:val="18"/>
                <w:szCs w:val="18"/>
                <w:lang w:val="es-MX" w:eastAsia="es-MX"/>
              </w:rPr>
            </w:pPr>
            <w:r w:rsidRPr="001D57C0">
              <w:rPr>
                <w:rFonts w:ascii="Arial" w:eastAsia="Times New Roman" w:hAnsi="Arial" w:cs="Arial"/>
                <w:b/>
                <w:sz w:val="18"/>
                <w:szCs w:val="18"/>
                <w:lang w:val="es-MX" w:eastAsia="es-MX"/>
              </w:rPr>
              <w:t>Fin</w:t>
            </w:r>
          </w:p>
        </w:tc>
      </w:tr>
      <w:tr w:rsidR="005B39A3" w:rsidRPr="001D57C0" w:rsidTr="00B24D24">
        <w:trPr>
          <w:trHeight w:val="77"/>
          <w:jc w:val="center"/>
        </w:trPr>
        <w:tc>
          <w:tcPr>
            <w:tcW w:w="1657" w:type="dxa"/>
            <w:vMerge w:val="restart"/>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Subcomponente 1 Información de calidad y en lenguaje comprensible</w:t>
            </w:r>
          </w:p>
        </w:tc>
        <w:tc>
          <w:tcPr>
            <w:tcW w:w="567" w:type="dxa"/>
            <w:shd w:val="clear" w:color="auto" w:fill="auto"/>
            <w:noWrap/>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1.1</w:t>
            </w:r>
          </w:p>
        </w:tc>
        <w:tc>
          <w:tcPr>
            <w:tcW w:w="3969" w:type="dxa"/>
            <w:shd w:val="clear" w:color="auto" w:fill="auto"/>
            <w:vAlign w:val="center"/>
            <w:hideMark/>
          </w:tcPr>
          <w:p w:rsidR="005B39A3" w:rsidRPr="001D57C0" w:rsidRDefault="005B39A3" w:rsidP="001D57C0">
            <w:pPr>
              <w:spacing w:after="0" w:line="240" w:lineRule="auto"/>
              <w:jc w:val="both"/>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Publicar en la página Web de la AGR permanentemente los informes de auditoría producto de la ejecución del Proceso Auditor.</w:t>
            </w:r>
          </w:p>
        </w:tc>
        <w:tc>
          <w:tcPr>
            <w:tcW w:w="1559"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Documentos publicados oportunamente.</w:t>
            </w:r>
          </w:p>
        </w:tc>
        <w:tc>
          <w:tcPr>
            <w:tcW w:w="2127"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Recursos de funcionamiento</w:t>
            </w:r>
          </w:p>
        </w:tc>
        <w:tc>
          <w:tcPr>
            <w:tcW w:w="1701" w:type="dxa"/>
            <w:shd w:val="clear" w:color="auto" w:fill="auto"/>
            <w:vAlign w:val="center"/>
            <w:hideMark/>
          </w:tcPr>
          <w:p w:rsidR="005B39A3" w:rsidRPr="001D57C0" w:rsidRDefault="00863634"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Auditorí</w:t>
            </w:r>
            <w:r w:rsidR="005B39A3" w:rsidRPr="001D57C0">
              <w:rPr>
                <w:rFonts w:ascii="Arial" w:eastAsia="Times New Roman" w:hAnsi="Arial" w:cs="Arial"/>
                <w:sz w:val="18"/>
                <w:szCs w:val="18"/>
                <w:lang w:val="es-MX" w:eastAsia="es-MX"/>
              </w:rPr>
              <w:t xml:space="preserve">a Delegada. </w:t>
            </w:r>
          </w:p>
        </w:tc>
        <w:tc>
          <w:tcPr>
            <w:tcW w:w="1051" w:type="dxa"/>
            <w:shd w:val="clear" w:color="auto" w:fill="auto"/>
            <w:vAlign w:val="center"/>
            <w:hideMark/>
          </w:tcPr>
          <w:p w:rsidR="005B39A3" w:rsidRPr="001D57C0" w:rsidRDefault="00863634"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17</w:t>
            </w:r>
            <w:r w:rsidR="005B39A3" w:rsidRPr="001D57C0">
              <w:rPr>
                <w:rFonts w:ascii="Arial" w:eastAsia="Times New Roman" w:hAnsi="Arial" w:cs="Arial"/>
                <w:sz w:val="18"/>
                <w:szCs w:val="18"/>
                <w:lang w:val="es-MX" w:eastAsia="es-MX"/>
              </w:rPr>
              <w:t>/02/2020</w:t>
            </w:r>
          </w:p>
        </w:tc>
        <w:tc>
          <w:tcPr>
            <w:tcW w:w="1276"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 xml:space="preserve">31/12/2020 </w:t>
            </w:r>
            <w:r w:rsidRPr="001D57C0">
              <w:rPr>
                <w:rFonts w:ascii="Arial" w:eastAsia="Times New Roman" w:hAnsi="Arial" w:cs="Arial"/>
                <w:sz w:val="18"/>
                <w:szCs w:val="18"/>
                <w:lang w:val="es-MX" w:eastAsia="es-MX"/>
              </w:rPr>
              <w:br/>
              <w:t>Permanente</w:t>
            </w:r>
          </w:p>
        </w:tc>
      </w:tr>
      <w:tr w:rsidR="005B39A3" w:rsidRPr="001D57C0" w:rsidTr="00B24D24">
        <w:trPr>
          <w:trHeight w:val="180"/>
          <w:jc w:val="center"/>
        </w:trPr>
        <w:tc>
          <w:tcPr>
            <w:tcW w:w="1657" w:type="dxa"/>
            <w:vMerge/>
            <w:shd w:val="clear" w:color="auto" w:fill="auto"/>
            <w:vAlign w:val="center"/>
          </w:tcPr>
          <w:p w:rsidR="005B39A3" w:rsidRPr="001D57C0" w:rsidRDefault="005B39A3" w:rsidP="001D57C0">
            <w:pPr>
              <w:spacing w:after="0" w:line="240" w:lineRule="auto"/>
              <w:jc w:val="center"/>
              <w:rPr>
                <w:rFonts w:ascii="Arial" w:eastAsia="Times New Roman" w:hAnsi="Arial" w:cs="Arial"/>
                <w:sz w:val="18"/>
                <w:szCs w:val="18"/>
                <w:lang w:val="es-MX" w:eastAsia="es-MX"/>
              </w:rPr>
            </w:pPr>
          </w:p>
        </w:tc>
        <w:tc>
          <w:tcPr>
            <w:tcW w:w="567" w:type="dxa"/>
            <w:shd w:val="clear" w:color="auto" w:fill="auto"/>
            <w:noWrap/>
            <w:vAlign w:val="center"/>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1.2</w:t>
            </w:r>
          </w:p>
        </w:tc>
        <w:tc>
          <w:tcPr>
            <w:tcW w:w="3969" w:type="dxa"/>
            <w:shd w:val="clear" w:color="auto" w:fill="auto"/>
            <w:vAlign w:val="center"/>
          </w:tcPr>
          <w:p w:rsidR="005B39A3" w:rsidRPr="001D57C0" w:rsidRDefault="005B39A3" w:rsidP="00B24D24">
            <w:pPr>
              <w:spacing w:after="0" w:line="240" w:lineRule="auto"/>
              <w:jc w:val="both"/>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Publicar en la página Web de la AGR permanentemente los estudios especializados que se realicen.</w:t>
            </w:r>
          </w:p>
        </w:tc>
        <w:tc>
          <w:tcPr>
            <w:tcW w:w="1559" w:type="dxa"/>
            <w:shd w:val="clear" w:color="auto" w:fill="auto"/>
            <w:vAlign w:val="center"/>
          </w:tcPr>
          <w:p w:rsidR="005B39A3" w:rsidRPr="001D57C0" w:rsidRDefault="005B39A3" w:rsidP="001D57C0">
            <w:pPr>
              <w:spacing w:line="240" w:lineRule="auto"/>
              <w:jc w:val="center"/>
              <w:rPr>
                <w:rFonts w:ascii="Arial" w:hAnsi="Arial" w:cs="Arial"/>
                <w:sz w:val="18"/>
                <w:szCs w:val="18"/>
              </w:rPr>
            </w:pPr>
            <w:r w:rsidRPr="001D57C0">
              <w:rPr>
                <w:rFonts w:ascii="Arial" w:hAnsi="Arial" w:cs="Arial"/>
                <w:sz w:val="18"/>
                <w:szCs w:val="18"/>
              </w:rPr>
              <w:t>Documentos publicados oportunamente.</w:t>
            </w:r>
          </w:p>
        </w:tc>
        <w:tc>
          <w:tcPr>
            <w:tcW w:w="2127" w:type="dxa"/>
            <w:shd w:val="clear" w:color="auto" w:fill="auto"/>
            <w:vAlign w:val="center"/>
          </w:tcPr>
          <w:p w:rsidR="005B39A3" w:rsidRPr="001D57C0" w:rsidRDefault="005B39A3" w:rsidP="001D57C0">
            <w:pPr>
              <w:spacing w:line="240" w:lineRule="auto"/>
              <w:jc w:val="center"/>
              <w:rPr>
                <w:rFonts w:ascii="Arial" w:hAnsi="Arial" w:cs="Arial"/>
                <w:sz w:val="18"/>
                <w:szCs w:val="18"/>
              </w:rPr>
            </w:pPr>
            <w:r w:rsidRPr="001D57C0">
              <w:rPr>
                <w:rFonts w:ascii="Arial" w:hAnsi="Arial" w:cs="Arial"/>
                <w:sz w:val="18"/>
                <w:szCs w:val="18"/>
              </w:rPr>
              <w:t>Recursos de funcionamiento</w:t>
            </w:r>
          </w:p>
        </w:tc>
        <w:tc>
          <w:tcPr>
            <w:tcW w:w="1701" w:type="dxa"/>
            <w:shd w:val="clear" w:color="auto" w:fill="auto"/>
            <w:vAlign w:val="center"/>
          </w:tcPr>
          <w:p w:rsidR="005B39A3" w:rsidRPr="001D57C0" w:rsidRDefault="005B39A3" w:rsidP="001D57C0">
            <w:pPr>
              <w:spacing w:line="240" w:lineRule="auto"/>
              <w:jc w:val="center"/>
              <w:rPr>
                <w:rFonts w:ascii="Arial" w:hAnsi="Arial" w:cs="Arial"/>
                <w:sz w:val="18"/>
                <w:szCs w:val="18"/>
              </w:rPr>
            </w:pPr>
            <w:r w:rsidRPr="001D57C0">
              <w:rPr>
                <w:rFonts w:ascii="Arial" w:hAnsi="Arial" w:cs="Arial"/>
                <w:sz w:val="18"/>
                <w:szCs w:val="18"/>
              </w:rPr>
              <w:t>Oficina de Estudios Especiales</w:t>
            </w:r>
          </w:p>
        </w:tc>
        <w:tc>
          <w:tcPr>
            <w:tcW w:w="1051" w:type="dxa"/>
            <w:shd w:val="clear" w:color="auto" w:fill="auto"/>
            <w:vAlign w:val="center"/>
          </w:tcPr>
          <w:p w:rsidR="005B39A3" w:rsidRPr="001D57C0" w:rsidRDefault="005B39A3" w:rsidP="00A46916">
            <w:pPr>
              <w:spacing w:line="240" w:lineRule="auto"/>
              <w:jc w:val="center"/>
              <w:rPr>
                <w:rFonts w:ascii="Arial" w:hAnsi="Arial" w:cs="Arial"/>
                <w:sz w:val="18"/>
                <w:szCs w:val="18"/>
              </w:rPr>
            </w:pPr>
            <w:r w:rsidRPr="001D57C0">
              <w:rPr>
                <w:rFonts w:ascii="Arial" w:hAnsi="Arial" w:cs="Arial"/>
                <w:sz w:val="18"/>
                <w:szCs w:val="18"/>
              </w:rPr>
              <w:t>0</w:t>
            </w:r>
            <w:r w:rsidR="00A46916">
              <w:rPr>
                <w:rFonts w:ascii="Arial" w:hAnsi="Arial" w:cs="Arial"/>
                <w:sz w:val="18"/>
                <w:szCs w:val="18"/>
              </w:rPr>
              <w:t>3</w:t>
            </w:r>
            <w:r w:rsidRPr="001D57C0">
              <w:rPr>
                <w:rFonts w:ascii="Arial" w:hAnsi="Arial" w:cs="Arial"/>
                <w:sz w:val="18"/>
                <w:szCs w:val="18"/>
              </w:rPr>
              <w:t>/02/2020</w:t>
            </w:r>
          </w:p>
        </w:tc>
        <w:tc>
          <w:tcPr>
            <w:tcW w:w="1276" w:type="dxa"/>
            <w:shd w:val="clear" w:color="auto" w:fill="auto"/>
            <w:vAlign w:val="center"/>
          </w:tcPr>
          <w:p w:rsidR="005B39A3" w:rsidRPr="001D57C0" w:rsidRDefault="005B39A3" w:rsidP="001D57C0">
            <w:pPr>
              <w:spacing w:line="240" w:lineRule="auto"/>
              <w:jc w:val="center"/>
              <w:rPr>
                <w:rFonts w:ascii="Arial" w:hAnsi="Arial" w:cs="Arial"/>
                <w:sz w:val="18"/>
                <w:szCs w:val="18"/>
              </w:rPr>
            </w:pPr>
            <w:r w:rsidRPr="001D57C0">
              <w:rPr>
                <w:rFonts w:ascii="Arial" w:hAnsi="Arial" w:cs="Arial"/>
                <w:sz w:val="18"/>
                <w:szCs w:val="18"/>
              </w:rPr>
              <w:t>31/12/2020 Permanente</w:t>
            </w:r>
          </w:p>
        </w:tc>
      </w:tr>
      <w:tr w:rsidR="005B39A3" w:rsidRPr="001D57C0" w:rsidTr="00B24D24">
        <w:trPr>
          <w:trHeight w:val="631"/>
          <w:jc w:val="center"/>
        </w:trPr>
        <w:tc>
          <w:tcPr>
            <w:tcW w:w="1657" w:type="dxa"/>
            <w:vMerge/>
            <w:vAlign w:val="center"/>
            <w:hideMark/>
          </w:tcPr>
          <w:p w:rsidR="005B39A3" w:rsidRPr="001D57C0" w:rsidRDefault="005B39A3" w:rsidP="001D57C0">
            <w:pPr>
              <w:spacing w:after="0" w:line="240" w:lineRule="auto"/>
              <w:rPr>
                <w:rFonts w:ascii="Arial" w:eastAsia="Times New Roman" w:hAnsi="Arial" w:cs="Arial"/>
                <w:sz w:val="18"/>
                <w:szCs w:val="18"/>
                <w:lang w:val="es-MX" w:eastAsia="es-MX"/>
              </w:rPr>
            </w:pPr>
          </w:p>
        </w:tc>
        <w:tc>
          <w:tcPr>
            <w:tcW w:w="567" w:type="dxa"/>
            <w:shd w:val="clear" w:color="auto" w:fill="auto"/>
            <w:noWrap/>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1.3</w:t>
            </w:r>
          </w:p>
        </w:tc>
        <w:tc>
          <w:tcPr>
            <w:tcW w:w="3969" w:type="dxa"/>
            <w:shd w:val="clear" w:color="auto" w:fill="auto"/>
            <w:vAlign w:val="center"/>
            <w:hideMark/>
          </w:tcPr>
          <w:p w:rsidR="005B39A3" w:rsidRPr="001D57C0" w:rsidRDefault="005B39A3" w:rsidP="001D57C0">
            <w:pPr>
              <w:spacing w:after="0" w:line="240" w:lineRule="auto"/>
              <w:jc w:val="both"/>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Contar con un micro-sitio en la página web de la Entidad donde se publiquen con oportunidad todos los contenidos temáticos referentes al desarrollo de la Estrategia de Rendición de Cuentas (Cronograma</w:t>
            </w:r>
            <w:r w:rsidR="00863634" w:rsidRPr="001D57C0">
              <w:rPr>
                <w:rFonts w:ascii="Arial" w:eastAsia="Times New Roman" w:hAnsi="Arial" w:cs="Arial"/>
                <w:sz w:val="18"/>
                <w:szCs w:val="18"/>
                <w:lang w:val="es-MX" w:eastAsia="es-MX"/>
              </w:rPr>
              <w:t xml:space="preserve"> de actividades, invitaciones, Estrategia de rendición de cuentas, </w:t>
            </w:r>
            <w:r w:rsidRPr="001D57C0">
              <w:rPr>
                <w:rFonts w:ascii="Arial" w:eastAsia="Times New Roman" w:hAnsi="Arial" w:cs="Arial"/>
                <w:sz w:val="18"/>
                <w:szCs w:val="18"/>
                <w:lang w:val="es-MX" w:eastAsia="es-MX"/>
              </w:rPr>
              <w:t>informe de gestión anual, informes de evaluación).</w:t>
            </w:r>
          </w:p>
        </w:tc>
        <w:tc>
          <w:tcPr>
            <w:tcW w:w="1559"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Micro-sitio en la página web con documentos actualizados</w:t>
            </w:r>
          </w:p>
        </w:tc>
        <w:tc>
          <w:tcPr>
            <w:tcW w:w="2127"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Recursos de funcionamiento</w:t>
            </w:r>
          </w:p>
        </w:tc>
        <w:tc>
          <w:tcPr>
            <w:tcW w:w="1701" w:type="dxa"/>
            <w:shd w:val="clear" w:color="auto" w:fill="auto"/>
            <w:vAlign w:val="center"/>
            <w:hideMark/>
          </w:tcPr>
          <w:p w:rsidR="005B39A3" w:rsidRPr="001D57C0" w:rsidRDefault="00863634"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Auditorí</w:t>
            </w:r>
            <w:r w:rsidR="005B39A3" w:rsidRPr="001D57C0">
              <w:rPr>
                <w:rFonts w:ascii="Arial" w:eastAsia="Times New Roman" w:hAnsi="Arial" w:cs="Arial"/>
                <w:sz w:val="18"/>
                <w:szCs w:val="18"/>
                <w:lang w:val="es-MX" w:eastAsia="es-MX"/>
              </w:rPr>
              <w:t>a Auxiliar, Oficina de Estudios Especiales.</w:t>
            </w:r>
          </w:p>
        </w:tc>
        <w:tc>
          <w:tcPr>
            <w:tcW w:w="1051" w:type="dxa"/>
            <w:shd w:val="clear" w:color="auto" w:fill="auto"/>
            <w:vAlign w:val="center"/>
            <w:hideMark/>
          </w:tcPr>
          <w:p w:rsidR="005B39A3" w:rsidRPr="001D57C0" w:rsidRDefault="005B39A3" w:rsidP="00A46916">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0</w:t>
            </w:r>
            <w:r w:rsidR="00A46916">
              <w:rPr>
                <w:rFonts w:ascii="Arial" w:eastAsia="Times New Roman" w:hAnsi="Arial" w:cs="Arial"/>
                <w:sz w:val="18"/>
                <w:szCs w:val="18"/>
                <w:lang w:val="es-MX" w:eastAsia="es-MX"/>
              </w:rPr>
              <w:t>3</w:t>
            </w:r>
            <w:r w:rsidRPr="001D57C0">
              <w:rPr>
                <w:rFonts w:ascii="Arial" w:eastAsia="Times New Roman" w:hAnsi="Arial" w:cs="Arial"/>
                <w:sz w:val="18"/>
                <w:szCs w:val="18"/>
                <w:lang w:val="es-MX" w:eastAsia="es-MX"/>
              </w:rPr>
              <w:t>/02/2020</w:t>
            </w:r>
          </w:p>
        </w:tc>
        <w:tc>
          <w:tcPr>
            <w:tcW w:w="1276"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31/12/2020</w:t>
            </w:r>
          </w:p>
        </w:tc>
      </w:tr>
      <w:tr w:rsidR="005B39A3" w:rsidRPr="001D57C0" w:rsidTr="00B24D24">
        <w:trPr>
          <w:trHeight w:val="77"/>
          <w:jc w:val="center"/>
        </w:trPr>
        <w:tc>
          <w:tcPr>
            <w:tcW w:w="1657" w:type="dxa"/>
            <w:vMerge/>
            <w:vAlign w:val="center"/>
            <w:hideMark/>
          </w:tcPr>
          <w:p w:rsidR="005B39A3" w:rsidRPr="001D57C0" w:rsidRDefault="005B39A3" w:rsidP="001D57C0">
            <w:pPr>
              <w:spacing w:after="0" w:line="240" w:lineRule="auto"/>
              <w:rPr>
                <w:rFonts w:ascii="Arial" w:eastAsia="Times New Roman" w:hAnsi="Arial" w:cs="Arial"/>
                <w:sz w:val="18"/>
                <w:szCs w:val="18"/>
                <w:lang w:val="es-MX" w:eastAsia="es-MX"/>
              </w:rPr>
            </w:pPr>
          </w:p>
        </w:tc>
        <w:tc>
          <w:tcPr>
            <w:tcW w:w="567" w:type="dxa"/>
            <w:shd w:val="clear" w:color="auto" w:fill="auto"/>
            <w:noWrap/>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1.4</w:t>
            </w:r>
          </w:p>
        </w:tc>
        <w:tc>
          <w:tcPr>
            <w:tcW w:w="3969" w:type="dxa"/>
            <w:shd w:val="clear" w:color="auto" w:fill="auto"/>
            <w:vAlign w:val="center"/>
            <w:hideMark/>
          </w:tcPr>
          <w:p w:rsidR="005B39A3" w:rsidRPr="001D57C0" w:rsidRDefault="005B39A3" w:rsidP="001D57C0">
            <w:pPr>
              <w:spacing w:after="0" w:line="240" w:lineRule="auto"/>
              <w:jc w:val="both"/>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Facilitar datos y estadísticas referentes al control fiscal a partes interesad</w:t>
            </w:r>
            <w:r w:rsidR="00863634" w:rsidRPr="001D57C0">
              <w:rPr>
                <w:rFonts w:ascii="Arial" w:eastAsia="Times New Roman" w:hAnsi="Arial" w:cs="Arial"/>
                <w:sz w:val="18"/>
                <w:szCs w:val="18"/>
                <w:lang w:val="es-MX" w:eastAsia="es-MX"/>
              </w:rPr>
              <w:t>as que los requieran. (Secretarí</w:t>
            </w:r>
            <w:r w:rsidRPr="001D57C0">
              <w:rPr>
                <w:rFonts w:ascii="Arial" w:eastAsia="Times New Roman" w:hAnsi="Arial" w:cs="Arial"/>
                <w:sz w:val="18"/>
                <w:szCs w:val="18"/>
                <w:lang w:val="es-MX" w:eastAsia="es-MX"/>
              </w:rPr>
              <w:t>a de Transparencia de la Presidencia, DAFP, Universidades, Congreso, ONG´S, etc.)</w:t>
            </w:r>
          </w:p>
        </w:tc>
        <w:tc>
          <w:tcPr>
            <w:tcW w:w="1559"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Entrega oportuna de información</w:t>
            </w:r>
          </w:p>
        </w:tc>
        <w:tc>
          <w:tcPr>
            <w:tcW w:w="2127"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Recursos de funcionamiento</w:t>
            </w:r>
          </w:p>
        </w:tc>
        <w:tc>
          <w:tcPr>
            <w:tcW w:w="1701" w:type="dxa"/>
            <w:shd w:val="clear" w:color="auto" w:fill="auto"/>
            <w:vAlign w:val="center"/>
            <w:hideMark/>
          </w:tcPr>
          <w:p w:rsidR="005B39A3" w:rsidRPr="001D57C0" w:rsidRDefault="00863634"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Auditorí</w:t>
            </w:r>
            <w:r w:rsidR="005B39A3" w:rsidRPr="001D57C0">
              <w:rPr>
                <w:rFonts w:ascii="Arial" w:eastAsia="Times New Roman" w:hAnsi="Arial" w:cs="Arial"/>
                <w:sz w:val="18"/>
                <w:szCs w:val="18"/>
                <w:lang w:val="es-MX" w:eastAsia="es-MX"/>
              </w:rPr>
              <w:t>a Delegada</w:t>
            </w:r>
          </w:p>
        </w:tc>
        <w:tc>
          <w:tcPr>
            <w:tcW w:w="1051" w:type="dxa"/>
            <w:shd w:val="clear" w:color="auto" w:fill="auto"/>
            <w:vAlign w:val="center"/>
            <w:hideMark/>
          </w:tcPr>
          <w:p w:rsidR="005B39A3" w:rsidRPr="001D57C0" w:rsidRDefault="00A46916"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0</w:t>
            </w:r>
            <w:r>
              <w:rPr>
                <w:rFonts w:ascii="Arial" w:eastAsia="Times New Roman" w:hAnsi="Arial" w:cs="Arial"/>
                <w:sz w:val="18"/>
                <w:szCs w:val="18"/>
                <w:lang w:val="es-MX" w:eastAsia="es-MX"/>
              </w:rPr>
              <w:t>3</w:t>
            </w:r>
            <w:r w:rsidRPr="001D57C0">
              <w:rPr>
                <w:rFonts w:ascii="Arial" w:eastAsia="Times New Roman" w:hAnsi="Arial" w:cs="Arial"/>
                <w:sz w:val="18"/>
                <w:szCs w:val="18"/>
                <w:lang w:val="es-MX" w:eastAsia="es-MX"/>
              </w:rPr>
              <w:t>/02/2020</w:t>
            </w:r>
          </w:p>
        </w:tc>
        <w:tc>
          <w:tcPr>
            <w:tcW w:w="1276"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 xml:space="preserve">31/12/2020 </w:t>
            </w:r>
            <w:r w:rsidRPr="001D57C0">
              <w:rPr>
                <w:rFonts w:ascii="Arial" w:eastAsia="Times New Roman" w:hAnsi="Arial" w:cs="Arial"/>
                <w:sz w:val="18"/>
                <w:szCs w:val="18"/>
                <w:lang w:val="es-MX" w:eastAsia="es-MX"/>
              </w:rPr>
              <w:br/>
              <w:t xml:space="preserve">Permanente </w:t>
            </w:r>
          </w:p>
        </w:tc>
      </w:tr>
      <w:tr w:rsidR="005B39A3" w:rsidRPr="001D57C0" w:rsidTr="00B24D24">
        <w:trPr>
          <w:trHeight w:val="77"/>
          <w:jc w:val="center"/>
        </w:trPr>
        <w:tc>
          <w:tcPr>
            <w:tcW w:w="1657" w:type="dxa"/>
            <w:vMerge w:val="restart"/>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Subcomponente 2 Diálogo de doble vía con la ciudadanía y sus organizaciones</w:t>
            </w:r>
          </w:p>
        </w:tc>
        <w:tc>
          <w:tcPr>
            <w:tcW w:w="567" w:type="dxa"/>
            <w:shd w:val="clear" w:color="auto" w:fill="auto"/>
            <w:noWrap/>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2.1</w:t>
            </w:r>
          </w:p>
        </w:tc>
        <w:tc>
          <w:tcPr>
            <w:tcW w:w="3969" w:type="dxa"/>
            <w:shd w:val="clear" w:color="auto" w:fill="auto"/>
            <w:vAlign w:val="center"/>
            <w:hideMark/>
          </w:tcPr>
          <w:p w:rsidR="005B39A3" w:rsidRPr="001D57C0" w:rsidRDefault="005B39A3" w:rsidP="001D57C0">
            <w:pPr>
              <w:spacing w:after="0" w:line="240" w:lineRule="auto"/>
              <w:jc w:val="both"/>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Realizar un evento anual de rendición de cuenta</w:t>
            </w:r>
            <w:r w:rsidR="002331E9" w:rsidRPr="001D57C0">
              <w:rPr>
                <w:rFonts w:ascii="Arial" w:eastAsia="Times New Roman" w:hAnsi="Arial" w:cs="Arial"/>
                <w:sz w:val="18"/>
                <w:szCs w:val="18"/>
                <w:lang w:val="es-MX" w:eastAsia="es-MX"/>
              </w:rPr>
              <w:t>s</w:t>
            </w:r>
            <w:r w:rsidRPr="001D57C0">
              <w:rPr>
                <w:rFonts w:ascii="Arial" w:eastAsia="Times New Roman" w:hAnsi="Arial" w:cs="Arial"/>
                <w:sz w:val="18"/>
                <w:szCs w:val="18"/>
                <w:lang w:val="es-MX" w:eastAsia="es-MX"/>
              </w:rPr>
              <w:t xml:space="preserve"> en la Ciudad de Bogotá, donde se convoque a todos los actores del control fiscal y la ciu</w:t>
            </w:r>
            <w:r w:rsidR="002331E9" w:rsidRPr="001D57C0">
              <w:rPr>
                <w:rFonts w:ascii="Arial" w:eastAsia="Times New Roman" w:hAnsi="Arial" w:cs="Arial"/>
                <w:sz w:val="18"/>
                <w:szCs w:val="18"/>
                <w:lang w:val="es-MX" w:eastAsia="es-MX"/>
              </w:rPr>
              <w:t>dadanía en general (presencial o</w:t>
            </w:r>
            <w:r w:rsidRPr="001D57C0">
              <w:rPr>
                <w:rFonts w:ascii="Arial" w:eastAsia="Times New Roman" w:hAnsi="Arial" w:cs="Arial"/>
                <w:sz w:val="18"/>
                <w:szCs w:val="18"/>
                <w:lang w:val="es-MX" w:eastAsia="es-MX"/>
              </w:rPr>
              <w:t xml:space="preserve"> virtual) según cronograma establecido.</w:t>
            </w:r>
          </w:p>
        </w:tc>
        <w:tc>
          <w:tcPr>
            <w:tcW w:w="1559"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Rendición de cuentas realizada.</w:t>
            </w:r>
          </w:p>
        </w:tc>
        <w:tc>
          <w:tcPr>
            <w:tcW w:w="2127"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Inversión: "Fortalecimiento de la gestión del conocimiento especializado para la vigilancia de la gestión fiscal nacional"</w:t>
            </w:r>
          </w:p>
        </w:tc>
        <w:tc>
          <w:tcPr>
            <w:tcW w:w="1701"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Auditoría Auxiliar y Oficina de Estudios Especiales</w:t>
            </w:r>
          </w:p>
        </w:tc>
        <w:tc>
          <w:tcPr>
            <w:tcW w:w="1051" w:type="dxa"/>
            <w:shd w:val="clear" w:color="auto" w:fill="auto"/>
            <w:vAlign w:val="center"/>
            <w:hideMark/>
          </w:tcPr>
          <w:p w:rsidR="005B39A3" w:rsidRPr="001D57C0" w:rsidRDefault="002331E9"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27/10</w:t>
            </w:r>
            <w:r w:rsidR="005B39A3" w:rsidRPr="001D57C0">
              <w:rPr>
                <w:rFonts w:ascii="Arial" w:eastAsia="Times New Roman" w:hAnsi="Arial" w:cs="Arial"/>
                <w:sz w:val="18"/>
                <w:szCs w:val="18"/>
                <w:lang w:val="es-MX" w:eastAsia="es-MX"/>
              </w:rPr>
              <w:t>/2020</w:t>
            </w:r>
          </w:p>
        </w:tc>
        <w:tc>
          <w:tcPr>
            <w:tcW w:w="1276"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2</w:t>
            </w:r>
            <w:r w:rsidR="002331E9" w:rsidRPr="001D57C0">
              <w:rPr>
                <w:rFonts w:ascii="Arial" w:eastAsia="Times New Roman" w:hAnsi="Arial" w:cs="Arial"/>
                <w:sz w:val="18"/>
                <w:szCs w:val="18"/>
                <w:lang w:val="es-MX" w:eastAsia="es-MX"/>
              </w:rPr>
              <w:t>1/11</w:t>
            </w:r>
            <w:r w:rsidRPr="001D57C0">
              <w:rPr>
                <w:rFonts w:ascii="Arial" w:eastAsia="Times New Roman" w:hAnsi="Arial" w:cs="Arial"/>
                <w:sz w:val="18"/>
                <w:szCs w:val="18"/>
                <w:lang w:val="es-MX" w:eastAsia="es-MX"/>
              </w:rPr>
              <w:t>/2020</w:t>
            </w:r>
          </w:p>
        </w:tc>
      </w:tr>
      <w:tr w:rsidR="005B39A3" w:rsidRPr="001D57C0" w:rsidTr="00B24D24">
        <w:trPr>
          <w:trHeight w:val="77"/>
          <w:jc w:val="center"/>
        </w:trPr>
        <w:tc>
          <w:tcPr>
            <w:tcW w:w="1657" w:type="dxa"/>
            <w:vMerge/>
            <w:vAlign w:val="center"/>
            <w:hideMark/>
          </w:tcPr>
          <w:p w:rsidR="005B39A3" w:rsidRPr="001D57C0" w:rsidRDefault="005B39A3" w:rsidP="001D57C0">
            <w:pPr>
              <w:spacing w:after="0" w:line="240" w:lineRule="auto"/>
              <w:rPr>
                <w:rFonts w:ascii="Arial" w:eastAsia="Times New Roman" w:hAnsi="Arial" w:cs="Arial"/>
                <w:sz w:val="18"/>
                <w:szCs w:val="18"/>
                <w:lang w:val="es-MX" w:eastAsia="es-MX"/>
              </w:rPr>
            </w:pPr>
          </w:p>
        </w:tc>
        <w:tc>
          <w:tcPr>
            <w:tcW w:w="567" w:type="dxa"/>
            <w:shd w:val="clear" w:color="auto" w:fill="auto"/>
            <w:noWrap/>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2.2</w:t>
            </w:r>
          </w:p>
        </w:tc>
        <w:tc>
          <w:tcPr>
            <w:tcW w:w="3969" w:type="dxa"/>
            <w:shd w:val="clear" w:color="auto" w:fill="auto"/>
            <w:vAlign w:val="center"/>
            <w:hideMark/>
          </w:tcPr>
          <w:p w:rsidR="005B39A3" w:rsidRPr="001D57C0" w:rsidRDefault="005B39A3" w:rsidP="001D57C0">
            <w:pPr>
              <w:spacing w:after="0" w:line="240" w:lineRule="auto"/>
              <w:jc w:val="both"/>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Presentar informe de rendición de cuentas presencial ante la Corte Suprema de Justicia y el Consejo de Estado.</w:t>
            </w:r>
          </w:p>
        </w:tc>
        <w:tc>
          <w:tcPr>
            <w:tcW w:w="1559"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Rendición de cuentas realizada.</w:t>
            </w:r>
          </w:p>
        </w:tc>
        <w:tc>
          <w:tcPr>
            <w:tcW w:w="2127"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br/>
              <w:t>Funcionamiento</w:t>
            </w:r>
          </w:p>
        </w:tc>
        <w:tc>
          <w:tcPr>
            <w:tcW w:w="1701"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Auditoría Auxiliar y Oficina de Estudios Especiales</w:t>
            </w:r>
          </w:p>
        </w:tc>
        <w:tc>
          <w:tcPr>
            <w:tcW w:w="1051" w:type="dxa"/>
            <w:shd w:val="clear" w:color="auto" w:fill="auto"/>
            <w:vAlign w:val="center"/>
            <w:hideMark/>
          </w:tcPr>
          <w:p w:rsidR="005B39A3" w:rsidRPr="001D57C0" w:rsidRDefault="002331E9"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27/10/2020</w:t>
            </w:r>
          </w:p>
        </w:tc>
        <w:tc>
          <w:tcPr>
            <w:tcW w:w="1276" w:type="dxa"/>
            <w:shd w:val="clear" w:color="auto" w:fill="auto"/>
            <w:vAlign w:val="center"/>
            <w:hideMark/>
          </w:tcPr>
          <w:p w:rsidR="005B39A3" w:rsidRPr="001D57C0" w:rsidRDefault="002331E9"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27/11</w:t>
            </w:r>
            <w:r w:rsidR="005B39A3" w:rsidRPr="001D57C0">
              <w:rPr>
                <w:rFonts w:ascii="Arial" w:eastAsia="Times New Roman" w:hAnsi="Arial" w:cs="Arial"/>
                <w:sz w:val="18"/>
                <w:szCs w:val="18"/>
                <w:lang w:val="es-MX" w:eastAsia="es-MX"/>
              </w:rPr>
              <w:t>/2020</w:t>
            </w:r>
          </w:p>
        </w:tc>
      </w:tr>
      <w:tr w:rsidR="005B39A3" w:rsidRPr="001D57C0" w:rsidTr="00B24D24">
        <w:trPr>
          <w:trHeight w:val="77"/>
          <w:jc w:val="center"/>
        </w:trPr>
        <w:tc>
          <w:tcPr>
            <w:tcW w:w="1657" w:type="dxa"/>
            <w:vMerge/>
            <w:vAlign w:val="center"/>
            <w:hideMark/>
          </w:tcPr>
          <w:p w:rsidR="005B39A3" w:rsidRPr="001D57C0" w:rsidRDefault="005B39A3" w:rsidP="001D57C0">
            <w:pPr>
              <w:spacing w:after="0" w:line="240" w:lineRule="auto"/>
              <w:rPr>
                <w:rFonts w:ascii="Arial" w:eastAsia="Times New Roman" w:hAnsi="Arial" w:cs="Arial"/>
                <w:sz w:val="18"/>
                <w:szCs w:val="18"/>
                <w:lang w:val="es-MX" w:eastAsia="es-MX"/>
              </w:rPr>
            </w:pPr>
          </w:p>
        </w:tc>
        <w:tc>
          <w:tcPr>
            <w:tcW w:w="567" w:type="dxa"/>
            <w:shd w:val="clear" w:color="auto" w:fill="auto"/>
            <w:noWrap/>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2.4</w:t>
            </w:r>
          </w:p>
        </w:tc>
        <w:tc>
          <w:tcPr>
            <w:tcW w:w="3969" w:type="dxa"/>
            <w:shd w:val="clear" w:color="auto" w:fill="auto"/>
            <w:vAlign w:val="center"/>
            <w:hideMark/>
          </w:tcPr>
          <w:p w:rsidR="005B39A3" w:rsidRPr="001D57C0" w:rsidRDefault="005B39A3" w:rsidP="00B24D24">
            <w:pPr>
              <w:spacing w:after="0" w:line="240" w:lineRule="auto"/>
              <w:jc w:val="both"/>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 xml:space="preserve">Participar en ferias temáticas </w:t>
            </w:r>
            <w:r w:rsidR="002331E9" w:rsidRPr="001D57C0">
              <w:rPr>
                <w:rFonts w:ascii="Arial" w:eastAsia="Times New Roman" w:hAnsi="Arial" w:cs="Arial"/>
                <w:sz w:val="18"/>
                <w:szCs w:val="18"/>
                <w:lang w:val="es-MX" w:eastAsia="es-MX"/>
              </w:rPr>
              <w:t>o</w:t>
            </w:r>
            <w:r w:rsidRPr="001D57C0">
              <w:rPr>
                <w:rFonts w:ascii="Arial" w:eastAsia="Times New Roman" w:hAnsi="Arial" w:cs="Arial"/>
                <w:sz w:val="18"/>
                <w:szCs w:val="18"/>
                <w:lang w:val="es-MX" w:eastAsia="es-MX"/>
              </w:rPr>
              <w:t xml:space="preserve"> eventos externos en las que sea invitada la AGR, para dar a conocer su misión y gestión.</w:t>
            </w:r>
          </w:p>
        </w:tc>
        <w:tc>
          <w:tcPr>
            <w:tcW w:w="1559"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Asistencia a ferias temáticas y eventos externos documentados.</w:t>
            </w:r>
          </w:p>
        </w:tc>
        <w:tc>
          <w:tcPr>
            <w:tcW w:w="2127"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Funcionamiento</w:t>
            </w:r>
          </w:p>
        </w:tc>
        <w:tc>
          <w:tcPr>
            <w:tcW w:w="1701" w:type="dxa"/>
            <w:shd w:val="clear" w:color="auto" w:fill="auto"/>
            <w:vAlign w:val="center"/>
            <w:hideMark/>
          </w:tcPr>
          <w:p w:rsidR="005B39A3" w:rsidRPr="001D57C0" w:rsidRDefault="002331E9"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Auditorí</w:t>
            </w:r>
            <w:r w:rsidR="005B39A3" w:rsidRPr="001D57C0">
              <w:rPr>
                <w:rFonts w:ascii="Arial" w:eastAsia="Times New Roman" w:hAnsi="Arial" w:cs="Arial"/>
                <w:sz w:val="18"/>
                <w:szCs w:val="18"/>
                <w:lang w:val="es-MX" w:eastAsia="es-MX"/>
              </w:rPr>
              <w:t>a Auxiliar y Oficina de Estudios Especiales</w:t>
            </w:r>
          </w:p>
        </w:tc>
        <w:tc>
          <w:tcPr>
            <w:tcW w:w="1051" w:type="dxa"/>
            <w:shd w:val="clear" w:color="auto" w:fill="auto"/>
            <w:vAlign w:val="center"/>
            <w:hideMark/>
          </w:tcPr>
          <w:p w:rsidR="005B39A3" w:rsidRPr="001D57C0" w:rsidRDefault="00A46916"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0</w:t>
            </w:r>
            <w:r>
              <w:rPr>
                <w:rFonts w:ascii="Arial" w:eastAsia="Times New Roman" w:hAnsi="Arial" w:cs="Arial"/>
                <w:sz w:val="18"/>
                <w:szCs w:val="18"/>
                <w:lang w:val="es-MX" w:eastAsia="es-MX"/>
              </w:rPr>
              <w:t>3</w:t>
            </w:r>
            <w:r w:rsidRPr="001D57C0">
              <w:rPr>
                <w:rFonts w:ascii="Arial" w:eastAsia="Times New Roman" w:hAnsi="Arial" w:cs="Arial"/>
                <w:sz w:val="18"/>
                <w:szCs w:val="18"/>
                <w:lang w:val="es-MX" w:eastAsia="es-MX"/>
              </w:rPr>
              <w:t>/02/2020</w:t>
            </w:r>
          </w:p>
        </w:tc>
        <w:tc>
          <w:tcPr>
            <w:tcW w:w="1276"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31/12/2020</w:t>
            </w:r>
          </w:p>
        </w:tc>
      </w:tr>
      <w:tr w:rsidR="005B39A3" w:rsidRPr="001D57C0" w:rsidTr="00B24D24">
        <w:trPr>
          <w:trHeight w:val="469"/>
          <w:jc w:val="center"/>
        </w:trPr>
        <w:tc>
          <w:tcPr>
            <w:tcW w:w="1657" w:type="dxa"/>
            <w:vMerge w:val="restart"/>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lastRenderedPageBreak/>
              <w:t>Subcomponente 3 Incentivos para motivar la cultura de la rendición y petición de cuentas</w:t>
            </w:r>
          </w:p>
        </w:tc>
        <w:tc>
          <w:tcPr>
            <w:tcW w:w="567" w:type="dxa"/>
            <w:shd w:val="clear" w:color="auto" w:fill="auto"/>
            <w:noWrap/>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3.1</w:t>
            </w:r>
          </w:p>
        </w:tc>
        <w:tc>
          <w:tcPr>
            <w:tcW w:w="3969" w:type="dxa"/>
            <w:shd w:val="clear" w:color="auto" w:fill="auto"/>
            <w:vAlign w:val="center"/>
            <w:hideMark/>
          </w:tcPr>
          <w:p w:rsidR="005B39A3" w:rsidRPr="001D57C0" w:rsidRDefault="005B39A3" w:rsidP="001D57C0">
            <w:pPr>
              <w:spacing w:after="0" w:line="240" w:lineRule="auto"/>
              <w:jc w:val="both"/>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Adelantar actividades de difusión a través de medios internos para promover que los funcionarios de la AGR conozcan y participen en las actividades que desarrollan la estrategia de rendición de cuentas institucional.</w:t>
            </w:r>
          </w:p>
        </w:tc>
        <w:tc>
          <w:tcPr>
            <w:tcW w:w="1559"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Actividades de difusión desarrolladas</w:t>
            </w:r>
          </w:p>
        </w:tc>
        <w:tc>
          <w:tcPr>
            <w:tcW w:w="2127"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$27.500.000</w:t>
            </w:r>
            <w:r w:rsidRPr="001D57C0">
              <w:rPr>
                <w:rFonts w:ascii="Arial" w:eastAsia="Times New Roman" w:hAnsi="Arial" w:cs="Arial"/>
                <w:sz w:val="18"/>
                <w:szCs w:val="18"/>
                <w:lang w:val="es-MX" w:eastAsia="es-MX"/>
              </w:rPr>
              <w:br/>
              <w:t>Inversión: "Fortalecimiento de la gestión del conocimiento especializado para la vigilancia de la gestión fiscal nacional"</w:t>
            </w:r>
          </w:p>
        </w:tc>
        <w:tc>
          <w:tcPr>
            <w:tcW w:w="1701"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Oficina de Estudios Especiales</w:t>
            </w:r>
          </w:p>
        </w:tc>
        <w:tc>
          <w:tcPr>
            <w:tcW w:w="1051" w:type="dxa"/>
            <w:shd w:val="clear" w:color="auto" w:fill="auto"/>
            <w:vAlign w:val="center"/>
            <w:hideMark/>
          </w:tcPr>
          <w:p w:rsidR="005B39A3" w:rsidRPr="00F8024D" w:rsidRDefault="005B39A3" w:rsidP="00F8024D">
            <w:pPr>
              <w:spacing w:after="0" w:line="240" w:lineRule="auto"/>
              <w:jc w:val="center"/>
              <w:rPr>
                <w:rFonts w:ascii="Arial" w:eastAsia="Times New Roman" w:hAnsi="Arial" w:cs="Arial"/>
                <w:sz w:val="18"/>
                <w:szCs w:val="18"/>
                <w:lang w:val="es-MX" w:eastAsia="es-MX"/>
              </w:rPr>
            </w:pPr>
            <w:r w:rsidRPr="00F8024D">
              <w:rPr>
                <w:rFonts w:ascii="Arial" w:eastAsia="Times New Roman" w:hAnsi="Arial" w:cs="Arial"/>
                <w:sz w:val="18"/>
                <w:szCs w:val="18"/>
                <w:lang w:val="es-MX" w:eastAsia="es-MX"/>
              </w:rPr>
              <w:t>0</w:t>
            </w:r>
            <w:r w:rsidR="00F8024D" w:rsidRPr="00F8024D">
              <w:rPr>
                <w:rFonts w:ascii="Arial" w:eastAsia="Times New Roman" w:hAnsi="Arial" w:cs="Arial"/>
                <w:sz w:val="18"/>
                <w:szCs w:val="18"/>
                <w:lang w:val="es-MX" w:eastAsia="es-MX"/>
              </w:rPr>
              <w:t>3</w:t>
            </w:r>
            <w:r w:rsidRPr="00F8024D">
              <w:rPr>
                <w:rFonts w:ascii="Arial" w:eastAsia="Times New Roman" w:hAnsi="Arial" w:cs="Arial"/>
                <w:sz w:val="18"/>
                <w:szCs w:val="18"/>
                <w:lang w:val="es-MX" w:eastAsia="es-MX"/>
              </w:rPr>
              <w:t>/0</w:t>
            </w:r>
            <w:r w:rsidR="00F8024D" w:rsidRPr="00F8024D">
              <w:rPr>
                <w:rFonts w:ascii="Arial" w:eastAsia="Times New Roman" w:hAnsi="Arial" w:cs="Arial"/>
                <w:sz w:val="18"/>
                <w:szCs w:val="18"/>
                <w:lang w:val="es-MX" w:eastAsia="es-MX"/>
              </w:rPr>
              <w:t>2</w:t>
            </w:r>
            <w:r w:rsidRPr="00F8024D">
              <w:rPr>
                <w:rFonts w:ascii="Arial" w:eastAsia="Times New Roman" w:hAnsi="Arial" w:cs="Arial"/>
                <w:sz w:val="18"/>
                <w:szCs w:val="18"/>
                <w:lang w:val="es-MX" w:eastAsia="es-MX"/>
              </w:rPr>
              <w:t>/2020</w:t>
            </w:r>
          </w:p>
        </w:tc>
        <w:tc>
          <w:tcPr>
            <w:tcW w:w="1276"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31/12/2020</w:t>
            </w:r>
          </w:p>
        </w:tc>
      </w:tr>
      <w:tr w:rsidR="005B39A3" w:rsidRPr="001D57C0" w:rsidTr="00B24D24">
        <w:trPr>
          <w:trHeight w:val="419"/>
          <w:jc w:val="center"/>
        </w:trPr>
        <w:tc>
          <w:tcPr>
            <w:tcW w:w="1657" w:type="dxa"/>
            <w:vMerge/>
            <w:vAlign w:val="center"/>
            <w:hideMark/>
          </w:tcPr>
          <w:p w:rsidR="005B39A3" w:rsidRPr="001D57C0" w:rsidRDefault="005B39A3" w:rsidP="001D57C0">
            <w:pPr>
              <w:spacing w:after="0" w:line="240" w:lineRule="auto"/>
              <w:rPr>
                <w:rFonts w:ascii="Arial" w:eastAsia="Times New Roman" w:hAnsi="Arial" w:cs="Arial"/>
                <w:sz w:val="18"/>
                <w:szCs w:val="18"/>
                <w:lang w:val="es-MX" w:eastAsia="es-MX"/>
              </w:rPr>
            </w:pPr>
          </w:p>
        </w:tc>
        <w:tc>
          <w:tcPr>
            <w:tcW w:w="567" w:type="dxa"/>
            <w:shd w:val="clear" w:color="auto" w:fill="auto"/>
            <w:noWrap/>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3.2</w:t>
            </w:r>
          </w:p>
        </w:tc>
        <w:tc>
          <w:tcPr>
            <w:tcW w:w="3969" w:type="dxa"/>
            <w:shd w:val="clear" w:color="auto" w:fill="auto"/>
            <w:vAlign w:val="center"/>
            <w:hideMark/>
          </w:tcPr>
          <w:p w:rsidR="005B39A3" w:rsidRPr="001D57C0" w:rsidRDefault="005B39A3" w:rsidP="001D57C0">
            <w:pPr>
              <w:spacing w:after="0" w:line="240" w:lineRule="auto"/>
              <w:jc w:val="both"/>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Adelantar actividades de difusión a través de medios externos para promover que los grupos de valor y la ciudadanía conozcan y participen en las actividades que desarrollan la estrategia de rendición de cuentas institucional.</w:t>
            </w:r>
          </w:p>
        </w:tc>
        <w:tc>
          <w:tcPr>
            <w:tcW w:w="1559"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Actividades de difusión desarrolladas</w:t>
            </w:r>
          </w:p>
        </w:tc>
        <w:tc>
          <w:tcPr>
            <w:tcW w:w="2127"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Inversión: "Fortalecimiento de la gestión del conocimiento especializado para la vigilancia de la gestión fiscal nacional"</w:t>
            </w:r>
          </w:p>
        </w:tc>
        <w:tc>
          <w:tcPr>
            <w:tcW w:w="1701"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 xml:space="preserve">Oficina de Estudios Especiales </w:t>
            </w:r>
          </w:p>
        </w:tc>
        <w:tc>
          <w:tcPr>
            <w:tcW w:w="1051" w:type="dxa"/>
            <w:shd w:val="clear" w:color="auto" w:fill="auto"/>
            <w:vAlign w:val="center"/>
            <w:hideMark/>
          </w:tcPr>
          <w:p w:rsidR="005B39A3" w:rsidRPr="001D57C0" w:rsidRDefault="00A46916"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0</w:t>
            </w:r>
            <w:r>
              <w:rPr>
                <w:rFonts w:ascii="Arial" w:eastAsia="Times New Roman" w:hAnsi="Arial" w:cs="Arial"/>
                <w:sz w:val="18"/>
                <w:szCs w:val="18"/>
                <w:lang w:val="es-MX" w:eastAsia="es-MX"/>
              </w:rPr>
              <w:t>3</w:t>
            </w:r>
            <w:r w:rsidRPr="001D57C0">
              <w:rPr>
                <w:rFonts w:ascii="Arial" w:eastAsia="Times New Roman" w:hAnsi="Arial" w:cs="Arial"/>
                <w:sz w:val="18"/>
                <w:szCs w:val="18"/>
                <w:lang w:val="es-MX" w:eastAsia="es-MX"/>
              </w:rPr>
              <w:t>/02/2020</w:t>
            </w:r>
          </w:p>
        </w:tc>
        <w:tc>
          <w:tcPr>
            <w:tcW w:w="1276"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31/12/2020</w:t>
            </w:r>
          </w:p>
        </w:tc>
      </w:tr>
      <w:tr w:rsidR="005B39A3" w:rsidRPr="001D57C0" w:rsidTr="00B24D24">
        <w:trPr>
          <w:trHeight w:val="77"/>
          <w:jc w:val="center"/>
        </w:trPr>
        <w:tc>
          <w:tcPr>
            <w:tcW w:w="1657" w:type="dxa"/>
            <w:vMerge/>
            <w:vAlign w:val="center"/>
            <w:hideMark/>
          </w:tcPr>
          <w:p w:rsidR="005B39A3" w:rsidRPr="001D57C0" w:rsidRDefault="005B39A3" w:rsidP="001D57C0">
            <w:pPr>
              <w:spacing w:after="0" w:line="240" w:lineRule="auto"/>
              <w:rPr>
                <w:rFonts w:ascii="Arial" w:eastAsia="Times New Roman" w:hAnsi="Arial" w:cs="Arial"/>
                <w:sz w:val="18"/>
                <w:szCs w:val="18"/>
                <w:lang w:val="es-MX" w:eastAsia="es-MX"/>
              </w:rPr>
            </w:pPr>
          </w:p>
        </w:tc>
        <w:tc>
          <w:tcPr>
            <w:tcW w:w="567" w:type="dxa"/>
            <w:shd w:val="clear" w:color="auto" w:fill="auto"/>
            <w:noWrap/>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3.3.</w:t>
            </w:r>
          </w:p>
        </w:tc>
        <w:tc>
          <w:tcPr>
            <w:tcW w:w="3969" w:type="dxa"/>
            <w:shd w:val="clear" w:color="auto" w:fill="auto"/>
            <w:vAlign w:val="center"/>
            <w:hideMark/>
          </w:tcPr>
          <w:p w:rsidR="005B39A3" w:rsidRPr="001D57C0" w:rsidRDefault="005B39A3" w:rsidP="001D57C0">
            <w:pPr>
              <w:spacing w:after="0" w:line="240" w:lineRule="auto"/>
              <w:jc w:val="both"/>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Publicación de mínimo cinco mensajes enfocados a la prevención de la corrupción y el fortalecimiento de la transparencia a través de la página web y/o redes sociales de la AGR.</w:t>
            </w:r>
          </w:p>
        </w:tc>
        <w:tc>
          <w:tcPr>
            <w:tcW w:w="1559"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Mensajes Publicados</w:t>
            </w:r>
          </w:p>
        </w:tc>
        <w:tc>
          <w:tcPr>
            <w:tcW w:w="2127"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Inversión: "Fortalecimiento de la gestión del conocimiento especializado para la vigilancia de la gestión fiscal nacional"</w:t>
            </w:r>
          </w:p>
        </w:tc>
        <w:tc>
          <w:tcPr>
            <w:tcW w:w="1701"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Oficina Estudios Especiales.</w:t>
            </w:r>
          </w:p>
        </w:tc>
        <w:tc>
          <w:tcPr>
            <w:tcW w:w="1051"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01/03/2020</w:t>
            </w:r>
          </w:p>
        </w:tc>
        <w:tc>
          <w:tcPr>
            <w:tcW w:w="1276"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30/09/2020</w:t>
            </w:r>
          </w:p>
        </w:tc>
      </w:tr>
      <w:tr w:rsidR="005B39A3" w:rsidRPr="001D57C0" w:rsidTr="00B24D24">
        <w:trPr>
          <w:trHeight w:val="77"/>
          <w:jc w:val="center"/>
        </w:trPr>
        <w:tc>
          <w:tcPr>
            <w:tcW w:w="1657" w:type="dxa"/>
            <w:vMerge w:val="restart"/>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Subcomponente 4 Evaluación y retroalimentación a la gestión institucional</w:t>
            </w:r>
          </w:p>
        </w:tc>
        <w:tc>
          <w:tcPr>
            <w:tcW w:w="567" w:type="dxa"/>
            <w:shd w:val="clear" w:color="auto" w:fill="auto"/>
            <w:noWrap/>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4.1</w:t>
            </w:r>
          </w:p>
        </w:tc>
        <w:tc>
          <w:tcPr>
            <w:tcW w:w="3969" w:type="dxa"/>
            <w:shd w:val="clear" w:color="auto" w:fill="auto"/>
            <w:vAlign w:val="center"/>
            <w:hideMark/>
          </w:tcPr>
          <w:p w:rsidR="005B39A3" w:rsidRPr="001D57C0" w:rsidRDefault="005B39A3" w:rsidP="001D57C0">
            <w:pPr>
              <w:spacing w:after="0" w:line="240" w:lineRule="auto"/>
              <w:jc w:val="both"/>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Presentar ante el Comité Institucional de Gestión y Desempeño de la AGR el informe de evaluación del desarrollo de la estrategia de rendición de cuentas 2020.</w:t>
            </w:r>
          </w:p>
        </w:tc>
        <w:tc>
          <w:tcPr>
            <w:tcW w:w="1559"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Informe presentado</w:t>
            </w:r>
          </w:p>
        </w:tc>
        <w:tc>
          <w:tcPr>
            <w:tcW w:w="2127"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Recursos de funcionamiento</w:t>
            </w:r>
          </w:p>
        </w:tc>
        <w:tc>
          <w:tcPr>
            <w:tcW w:w="1701"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Oficina de Control Interno</w:t>
            </w:r>
          </w:p>
        </w:tc>
        <w:tc>
          <w:tcPr>
            <w:tcW w:w="1051"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01/12/2020</w:t>
            </w:r>
          </w:p>
        </w:tc>
        <w:tc>
          <w:tcPr>
            <w:tcW w:w="1276"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31/12/2020</w:t>
            </w:r>
          </w:p>
        </w:tc>
      </w:tr>
      <w:tr w:rsidR="005B39A3" w:rsidRPr="001D57C0" w:rsidTr="00B24D24">
        <w:trPr>
          <w:trHeight w:val="228"/>
          <w:jc w:val="center"/>
        </w:trPr>
        <w:tc>
          <w:tcPr>
            <w:tcW w:w="1657" w:type="dxa"/>
            <w:vMerge/>
            <w:vAlign w:val="center"/>
            <w:hideMark/>
          </w:tcPr>
          <w:p w:rsidR="005B39A3" w:rsidRPr="001D57C0" w:rsidRDefault="005B39A3" w:rsidP="001D57C0">
            <w:pPr>
              <w:spacing w:after="0" w:line="240" w:lineRule="auto"/>
              <w:rPr>
                <w:rFonts w:ascii="Arial" w:eastAsia="Times New Roman" w:hAnsi="Arial" w:cs="Arial"/>
                <w:sz w:val="18"/>
                <w:szCs w:val="18"/>
                <w:lang w:val="es-MX" w:eastAsia="es-MX"/>
              </w:rPr>
            </w:pPr>
          </w:p>
        </w:tc>
        <w:tc>
          <w:tcPr>
            <w:tcW w:w="567" w:type="dxa"/>
            <w:shd w:val="clear" w:color="auto" w:fill="auto"/>
            <w:noWrap/>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4.2</w:t>
            </w:r>
          </w:p>
        </w:tc>
        <w:tc>
          <w:tcPr>
            <w:tcW w:w="3969" w:type="dxa"/>
            <w:shd w:val="clear" w:color="auto" w:fill="auto"/>
            <w:vAlign w:val="center"/>
            <w:hideMark/>
          </w:tcPr>
          <w:p w:rsidR="005B39A3" w:rsidRPr="001D57C0" w:rsidRDefault="005B39A3" w:rsidP="001D57C0">
            <w:pPr>
              <w:spacing w:after="0" w:line="240" w:lineRule="auto"/>
              <w:jc w:val="both"/>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Realizar seguimiento a todas las actividades que se desarrollen para la implementación de la rendición de cuentas, según cronograma 2020.</w:t>
            </w:r>
          </w:p>
        </w:tc>
        <w:tc>
          <w:tcPr>
            <w:tcW w:w="1559"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Seguimientos en Comité Institucional de Gestión y Desempeño</w:t>
            </w:r>
          </w:p>
        </w:tc>
        <w:tc>
          <w:tcPr>
            <w:tcW w:w="2127"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Recursos de Funcionamiento.</w:t>
            </w:r>
          </w:p>
        </w:tc>
        <w:tc>
          <w:tcPr>
            <w:tcW w:w="1701"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Auditoría Auxiliar.</w:t>
            </w:r>
          </w:p>
        </w:tc>
        <w:tc>
          <w:tcPr>
            <w:tcW w:w="1051" w:type="dxa"/>
            <w:shd w:val="clear" w:color="auto" w:fill="auto"/>
            <w:vAlign w:val="center"/>
            <w:hideMark/>
          </w:tcPr>
          <w:p w:rsidR="005B39A3" w:rsidRPr="001D57C0" w:rsidRDefault="00C23003" w:rsidP="001D57C0">
            <w:pPr>
              <w:spacing w:after="0" w:line="240" w:lineRule="auto"/>
              <w:jc w:val="center"/>
              <w:rPr>
                <w:rFonts w:ascii="Arial" w:eastAsia="Times New Roman" w:hAnsi="Arial" w:cs="Arial"/>
                <w:sz w:val="18"/>
                <w:szCs w:val="18"/>
                <w:highlight w:val="yellow"/>
                <w:lang w:val="es-MX" w:eastAsia="es-MX"/>
              </w:rPr>
            </w:pPr>
            <w:r w:rsidRPr="001D57C0">
              <w:rPr>
                <w:rFonts w:ascii="Arial" w:eastAsia="Times New Roman" w:hAnsi="Arial" w:cs="Arial"/>
                <w:sz w:val="18"/>
                <w:szCs w:val="18"/>
                <w:lang w:val="es-MX" w:eastAsia="es-MX"/>
              </w:rPr>
              <w:t>0</w:t>
            </w:r>
            <w:r>
              <w:rPr>
                <w:rFonts w:ascii="Arial" w:eastAsia="Times New Roman" w:hAnsi="Arial" w:cs="Arial"/>
                <w:sz w:val="18"/>
                <w:szCs w:val="18"/>
                <w:lang w:val="es-MX" w:eastAsia="es-MX"/>
              </w:rPr>
              <w:t>3</w:t>
            </w:r>
            <w:r w:rsidRPr="001D57C0">
              <w:rPr>
                <w:rFonts w:ascii="Arial" w:eastAsia="Times New Roman" w:hAnsi="Arial" w:cs="Arial"/>
                <w:sz w:val="18"/>
                <w:szCs w:val="18"/>
                <w:lang w:val="es-MX" w:eastAsia="es-MX"/>
              </w:rPr>
              <w:t>/02/2020</w:t>
            </w:r>
          </w:p>
        </w:tc>
        <w:tc>
          <w:tcPr>
            <w:tcW w:w="1276" w:type="dxa"/>
            <w:shd w:val="clear" w:color="auto" w:fill="auto"/>
            <w:vAlign w:val="center"/>
            <w:hideMark/>
          </w:tcPr>
          <w:p w:rsidR="005B39A3" w:rsidRPr="001D57C0" w:rsidRDefault="005B39A3" w:rsidP="001D57C0">
            <w:pPr>
              <w:spacing w:after="0" w:line="240" w:lineRule="auto"/>
              <w:jc w:val="center"/>
              <w:rPr>
                <w:rFonts w:ascii="Arial" w:eastAsia="Times New Roman" w:hAnsi="Arial" w:cs="Arial"/>
                <w:sz w:val="18"/>
                <w:szCs w:val="18"/>
                <w:lang w:val="es-MX" w:eastAsia="es-MX"/>
              </w:rPr>
            </w:pPr>
            <w:r w:rsidRPr="001D57C0">
              <w:rPr>
                <w:rFonts w:ascii="Arial" w:eastAsia="Times New Roman" w:hAnsi="Arial" w:cs="Arial"/>
                <w:sz w:val="18"/>
                <w:szCs w:val="18"/>
                <w:lang w:val="es-MX" w:eastAsia="es-MX"/>
              </w:rPr>
              <w:t>31/12/2020</w:t>
            </w:r>
          </w:p>
        </w:tc>
        <w:bookmarkStart w:id="2" w:name="_GoBack"/>
        <w:bookmarkEnd w:id="2"/>
      </w:tr>
    </w:tbl>
    <w:p w:rsidR="00441348" w:rsidRPr="00BB533C" w:rsidRDefault="00441348" w:rsidP="00BB533C">
      <w:pPr>
        <w:jc w:val="both"/>
        <w:rPr>
          <w:rFonts w:ascii="Arial" w:hAnsi="Arial" w:cs="Arial"/>
          <w:color w:val="FF0000"/>
          <w:sz w:val="24"/>
          <w:szCs w:val="24"/>
        </w:rPr>
        <w:sectPr w:rsidR="00441348" w:rsidRPr="00BB533C" w:rsidSect="00441348">
          <w:pgSz w:w="15840" w:h="12240" w:orient="landscape" w:code="1"/>
          <w:pgMar w:top="1701" w:right="1276" w:bottom="1701" w:left="1418" w:header="567" w:footer="567" w:gutter="0"/>
          <w:cols w:space="708"/>
          <w:docGrid w:linePitch="360"/>
        </w:sectPr>
      </w:pPr>
    </w:p>
    <w:p w:rsidR="00074368" w:rsidRDefault="00074368" w:rsidP="00BB533C">
      <w:pPr>
        <w:pStyle w:val="Ttulo1"/>
        <w:rPr>
          <w:rFonts w:cs="Arial"/>
          <w:sz w:val="24"/>
          <w:szCs w:val="24"/>
        </w:rPr>
      </w:pPr>
      <w:bookmarkStart w:id="3" w:name="_Toc30598398"/>
      <w:bookmarkEnd w:id="3"/>
    </w:p>
    <w:sectPr w:rsidR="00074368" w:rsidSect="00415385">
      <w:pgSz w:w="12240" w:h="15840" w:code="1"/>
      <w:pgMar w:top="1276" w:right="1701"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CE4" w:rsidRDefault="00056CE4" w:rsidP="004A05BF">
      <w:pPr>
        <w:spacing w:after="0" w:line="240" w:lineRule="auto"/>
      </w:pPr>
      <w:r>
        <w:separator/>
      </w:r>
    </w:p>
  </w:endnote>
  <w:endnote w:type="continuationSeparator" w:id="0">
    <w:p w:rsidR="00056CE4" w:rsidRDefault="00056CE4" w:rsidP="004A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19964"/>
      <w:docPartObj>
        <w:docPartGallery w:val="Page Numbers (Bottom of Page)"/>
        <w:docPartUnique/>
      </w:docPartObj>
    </w:sdtPr>
    <w:sdtEndPr/>
    <w:sdtContent>
      <w:p w:rsidR="00582330" w:rsidRDefault="00582330">
        <w:pPr>
          <w:pStyle w:val="Piedepgina"/>
          <w:jc w:val="right"/>
        </w:pPr>
        <w:r>
          <w:fldChar w:fldCharType="begin"/>
        </w:r>
        <w:r>
          <w:instrText>PAGE   \* MERGEFORMAT</w:instrText>
        </w:r>
        <w:r>
          <w:fldChar w:fldCharType="separate"/>
        </w:r>
        <w:r w:rsidR="00415385" w:rsidRPr="00415385">
          <w:rPr>
            <w:noProof/>
            <w:lang w:val="es-ES"/>
          </w:rPr>
          <w:t>10</w:t>
        </w:r>
        <w:r>
          <w:fldChar w:fldCharType="end"/>
        </w:r>
      </w:p>
    </w:sdtContent>
  </w:sdt>
  <w:p w:rsidR="00582330" w:rsidRDefault="005823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567330"/>
      <w:docPartObj>
        <w:docPartGallery w:val="Page Numbers (Bottom of Page)"/>
        <w:docPartUnique/>
      </w:docPartObj>
    </w:sdtPr>
    <w:sdtEndPr/>
    <w:sdtContent>
      <w:p w:rsidR="00582330" w:rsidRDefault="00582330">
        <w:pPr>
          <w:pStyle w:val="Piedepgina"/>
          <w:jc w:val="right"/>
        </w:pPr>
        <w:r>
          <w:fldChar w:fldCharType="begin"/>
        </w:r>
        <w:r>
          <w:instrText>PAGE   \* MERGEFORMAT</w:instrText>
        </w:r>
        <w:r>
          <w:fldChar w:fldCharType="separate"/>
        </w:r>
        <w:r w:rsidRPr="00E219F0">
          <w:rPr>
            <w:noProof/>
            <w:lang w:val="es-ES"/>
          </w:rPr>
          <w:t>2</w:t>
        </w:r>
        <w:r>
          <w:fldChar w:fldCharType="end"/>
        </w:r>
      </w:p>
    </w:sdtContent>
  </w:sdt>
  <w:p w:rsidR="00582330" w:rsidRDefault="005823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CE4" w:rsidRDefault="00056CE4" w:rsidP="004A05BF">
      <w:pPr>
        <w:spacing w:after="0" w:line="240" w:lineRule="auto"/>
      </w:pPr>
      <w:r>
        <w:separator/>
      </w:r>
    </w:p>
  </w:footnote>
  <w:footnote w:type="continuationSeparator" w:id="0">
    <w:p w:rsidR="00056CE4" w:rsidRDefault="00056CE4" w:rsidP="004A0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30" w:rsidRDefault="00056CE4">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7517797" o:spid="_x0000_s2049" type="#_x0000_t75" style="position:absolute;margin-left:0;margin-top:0;width:612pt;height:11in;z-index:-251658752;mso-position-horizontal:center;mso-position-horizontal-relative:margin;mso-position-vertical:center;mso-position-vertical-relative:margin" o:allowincell="f">
          <v:imagedata r:id="rId1" o:title="AGRip-Payac_2018-Portada2-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30" w:rsidRDefault="00B24D24" w:rsidP="00B24D24">
    <w:pPr>
      <w:pStyle w:val="Encabezado"/>
      <w:jc w:val="center"/>
    </w:pPr>
    <w:r>
      <w:rPr>
        <w:noProof/>
        <w:lang w:eastAsia="es-CO"/>
      </w:rPr>
      <w:drawing>
        <wp:inline distT="0" distB="0" distL="0" distR="0" wp14:anchorId="579D2EBC" wp14:editId="569FA378">
          <wp:extent cx="3571875" cy="1045028"/>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90942" cy="1050606"/>
                  </a:xfrm>
                  <a:prstGeom prst="rect">
                    <a:avLst/>
                  </a:prstGeom>
                  <a:effectLst>
                    <a:softEdge rad="63500"/>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6.35pt;height:16.35pt" o:bullet="t">
        <v:imagedata r:id="rId1" o:title="auditoria daniel"/>
      </v:shape>
    </w:pict>
  </w:numPicBullet>
  <w:numPicBullet w:numPicBulletId="1">
    <w:pict>
      <v:shape id="_x0000_i1085" type="#_x0000_t75" style="width:11.5pt;height:11.5pt" o:bullet="t">
        <v:imagedata r:id="rId2" o:title=""/>
      </v:shape>
    </w:pict>
  </w:numPicBullet>
  <w:abstractNum w:abstractNumId="0" w15:restartNumberingAfterBreak="0">
    <w:nsid w:val="063E3AFC"/>
    <w:multiLevelType w:val="multilevel"/>
    <w:tmpl w:val="ED0696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7B3C8A"/>
    <w:multiLevelType w:val="hybridMultilevel"/>
    <w:tmpl w:val="60FC27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7516F3"/>
    <w:multiLevelType w:val="hybridMultilevel"/>
    <w:tmpl w:val="1532643A"/>
    <w:lvl w:ilvl="0" w:tplc="240A0001">
      <w:start w:val="1"/>
      <w:numFmt w:val="bullet"/>
      <w:lvlText w:val=""/>
      <w:lvlJc w:val="left"/>
      <w:pPr>
        <w:ind w:left="784" w:hanging="360"/>
      </w:pPr>
      <w:rPr>
        <w:rFonts w:ascii="Symbol" w:hAnsi="Symbo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3" w15:restartNumberingAfterBreak="0">
    <w:nsid w:val="1DA91E78"/>
    <w:multiLevelType w:val="hybridMultilevel"/>
    <w:tmpl w:val="F8E88AA4"/>
    <w:lvl w:ilvl="0" w:tplc="240A0001">
      <w:start w:val="1"/>
      <w:numFmt w:val="bullet"/>
      <w:lvlText w:val=""/>
      <w:lvlJc w:val="left"/>
      <w:pPr>
        <w:ind w:left="578" w:hanging="360"/>
      </w:pPr>
      <w:rPr>
        <w:rFonts w:ascii="Symbol" w:hAnsi="Symbol" w:hint="default"/>
      </w:rPr>
    </w:lvl>
    <w:lvl w:ilvl="1" w:tplc="240A0003">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4" w15:restartNumberingAfterBreak="0">
    <w:nsid w:val="1EB24206"/>
    <w:multiLevelType w:val="hybridMultilevel"/>
    <w:tmpl w:val="F3163F20"/>
    <w:lvl w:ilvl="0" w:tplc="A494575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23D13577"/>
    <w:multiLevelType w:val="multilevel"/>
    <w:tmpl w:val="845AE5D4"/>
    <w:lvl w:ilvl="0">
      <w:numFmt w:val="bullet"/>
      <w:lvlText w:val=""/>
      <w:lvlPicBulletId w:val="1"/>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519576A"/>
    <w:multiLevelType w:val="hybridMultilevel"/>
    <w:tmpl w:val="68CE183A"/>
    <w:lvl w:ilvl="0" w:tplc="AD949E90">
      <w:numFmt w:val="bullet"/>
      <w:lvlText w:val="-"/>
      <w:lvlJc w:val="left"/>
      <w:pPr>
        <w:ind w:left="720" w:hanging="360"/>
      </w:pPr>
      <w:rPr>
        <w:rFonts w:ascii="LiberationSerif" w:eastAsiaTheme="minorHAnsi" w:hAnsi="LiberationSerif" w:cs="LiberationSerif"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7D5A97"/>
    <w:multiLevelType w:val="hybridMultilevel"/>
    <w:tmpl w:val="7E1ED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75B0394"/>
    <w:multiLevelType w:val="multilevel"/>
    <w:tmpl w:val="CF1C11D4"/>
    <w:lvl w:ilvl="0">
      <w:numFmt w:val="bullet"/>
      <w:lvlText w:val=""/>
      <w:lvlPicBulletId w:val="1"/>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886568E"/>
    <w:multiLevelType w:val="hybridMultilevel"/>
    <w:tmpl w:val="9168B88C"/>
    <w:lvl w:ilvl="0" w:tplc="738C24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92E0D37"/>
    <w:multiLevelType w:val="hybridMultilevel"/>
    <w:tmpl w:val="2564E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BA2B92"/>
    <w:multiLevelType w:val="hybridMultilevel"/>
    <w:tmpl w:val="657CA156"/>
    <w:lvl w:ilvl="0" w:tplc="A0A8C8E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0196050"/>
    <w:multiLevelType w:val="hybridMultilevel"/>
    <w:tmpl w:val="1366AD4E"/>
    <w:lvl w:ilvl="0" w:tplc="D90C3D1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C87365"/>
    <w:multiLevelType w:val="hybridMultilevel"/>
    <w:tmpl w:val="58DC60EC"/>
    <w:lvl w:ilvl="0" w:tplc="CE087CC6">
      <w:start w:val="1"/>
      <w:numFmt w:val="bullet"/>
      <w:lvlText w:val="•"/>
      <w:lvlJc w:val="left"/>
      <w:pPr>
        <w:tabs>
          <w:tab w:val="num" w:pos="720"/>
        </w:tabs>
        <w:ind w:left="720" w:hanging="360"/>
      </w:pPr>
      <w:rPr>
        <w:rFonts w:ascii="Arial" w:hAnsi="Arial" w:hint="default"/>
      </w:rPr>
    </w:lvl>
    <w:lvl w:ilvl="1" w:tplc="2638ABF0" w:tentative="1">
      <w:start w:val="1"/>
      <w:numFmt w:val="bullet"/>
      <w:lvlText w:val="•"/>
      <w:lvlJc w:val="left"/>
      <w:pPr>
        <w:tabs>
          <w:tab w:val="num" w:pos="1440"/>
        </w:tabs>
        <w:ind w:left="1440" w:hanging="360"/>
      </w:pPr>
      <w:rPr>
        <w:rFonts w:ascii="Arial" w:hAnsi="Arial" w:hint="default"/>
      </w:rPr>
    </w:lvl>
    <w:lvl w:ilvl="2" w:tplc="C7E4F57A" w:tentative="1">
      <w:start w:val="1"/>
      <w:numFmt w:val="bullet"/>
      <w:lvlText w:val="•"/>
      <w:lvlJc w:val="left"/>
      <w:pPr>
        <w:tabs>
          <w:tab w:val="num" w:pos="2160"/>
        </w:tabs>
        <w:ind w:left="2160" w:hanging="360"/>
      </w:pPr>
      <w:rPr>
        <w:rFonts w:ascii="Arial" w:hAnsi="Arial" w:hint="default"/>
      </w:rPr>
    </w:lvl>
    <w:lvl w:ilvl="3" w:tplc="FB0A3636" w:tentative="1">
      <w:start w:val="1"/>
      <w:numFmt w:val="bullet"/>
      <w:lvlText w:val="•"/>
      <w:lvlJc w:val="left"/>
      <w:pPr>
        <w:tabs>
          <w:tab w:val="num" w:pos="2880"/>
        </w:tabs>
        <w:ind w:left="2880" w:hanging="360"/>
      </w:pPr>
      <w:rPr>
        <w:rFonts w:ascii="Arial" w:hAnsi="Arial" w:hint="default"/>
      </w:rPr>
    </w:lvl>
    <w:lvl w:ilvl="4" w:tplc="23CEEE2A" w:tentative="1">
      <w:start w:val="1"/>
      <w:numFmt w:val="bullet"/>
      <w:lvlText w:val="•"/>
      <w:lvlJc w:val="left"/>
      <w:pPr>
        <w:tabs>
          <w:tab w:val="num" w:pos="3600"/>
        </w:tabs>
        <w:ind w:left="3600" w:hanging="360"/>
      </w:pPr>
      <w:rPr>
        <w:rFonts w:ascii="Arial" w:hAnsi="Arial" w:hint="default"/>
      </w:rPr>
    </w:lvl>
    <w:lvl w:ilvl="5" w:tplc="8AD6D03C" w:tentative="1">
      <w:start w:val="1"/>
      <w:numFmt w:val="bullet"/>
      <w:lvlText w:val="•"/>
      <w:lvlJc w:val="left"/>
      <w:pPr>
        <w:tabs>
          <w:tab w:val="num" w:pos="4320"/>
        </w:tabs>
        <w:ind w:left="4320" w:hanging="360"/>
      </w:pPr>
      <w:rPr>
        <w:rFonts w:ascii="Arial" w:hAnsi="Arial" w:hint="default"/>
      </w:rPr>
    </w:lvl>
    <w:lvl w:ilvl="6" w:tplc="32D8E2CE" w:tentative="1">
      <w:start w:val="1"/>
      <w:numFmt w:val="bullet"/>
      <w:lvlText w:val="•"/>
      <w:lvlJc w:val="left"/>
      <w:pPr>
        <w:tabs>
          <w:tab w:val="num" w:pos="5040"/>
        </w:tabs>
        <w:ind w:left="5040" w:hanging="360"/>
      </w:pPr>
      <w:rPr>
        <w:rFonts w:ascii="Arial" w:hAnsi="Arial" w:hint="default"/>
      </w:rPr>
    </w:lvl>
    <w:lvl w:ilvl="7" w:tplc="BA086014" w:tentative="1">
      <w:start w:val="1"/>
      <w:numFmt w:val="bullet"/>
      <w:lvlText w:val="•"/>
      <w:lvlJc w:val="left"/>
      <w:pPr>
        <w:tabs>
          <w:tab w:val="num" w:pos="5760"/>
        </w:tabs>
        <w:ind w:left="5760" w:hanging="360"/>
      </w:pPr>
      <w:rPr>
        <w:rFonts w:ascii="Arial" w:hAnsi="Arial" w:hint="default"/>
      </w:rPr>
    </w:lvl>
    <w:lvl w:ilvl="8" w:tplc="7C7C04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A07077"/>
    <w:multiLevelType w:val="hybridMultilevel"/>
    <w:tmpl w:val="A052E4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ACD4D46"/>
    <w:multiLevelType w:val="hybridMultilevel"/>
    <w:tmpl w:val="90B4B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EDD2D41"/>
    <w:multiLevelType w:val="hybridMultilevel"/>
    <w:tmpl w:val="ACF836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CC4B36"/>
    <w:multiLevelType w:val="hybridMultilevel"/>
    <w:tmpl w:val="179E4736"/>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2F44DC"/>
    <w:multiLevelType w:val="hybridMultilevel"/>
    <w:tmpl w:val="61C2E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4BA2E08"/>
    <w:multiLevelType w:val="hybridMultilevel"/>
    <w:tmpl w:val="24368D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8811856"/>
    <w:multiLevelType w:val="hybridMultilevel"/>
    <w:tmpl w:val="0616B97C"/>
    <w:lvl w:ilvl="0" w:tplc="D90C3D1C">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9B5EE8"/>
    <w:multiLevelType w:val="hybridMultilevel"/>
    <w:tmpl w:val="8F4270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F42057"/>
    <w:multiLevelType w:val="hybridMultilevel"/>
    <w:tmpl w:val="C1DE1B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C4D19C9"/>
    <w:multiLevelType w:val="hybridMultilevel"/>
    <w:tmpl w:val="EFC88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C973482"/>
    <w:multiLevelType w:val="hybridMultilevel"/>
    <w:tmpl w:val="0D5A7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F8F1628"/>
    <w:multiLevelType w:val="hybridMultilevel"/>
    <w:tmpl w:val="67185F2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6" w15:restartNumberingAfterBreak="0">
    <w:nsid w:val="6FB30792"/>
    <w:multiLevelType w:val="hybridMultilevel"/>
    <w:tmpl w:val="A68E3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7930CA4"/>
    <w:multiLevelType w:val="hybridMultilevel"/>
    <w:tmpl w:val="3E1C3E7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83E4246"/>
    <w:multiLevelType w:val="multilevel"/>
    <w:tmpl w:val="798419E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122CF6"/>
    <w:multiLevelType w:val="hybridMultilevel"/>
    <w:tmpl w:val="C48A53D0"/>
    <w:lvl w:ilvl="0" w:tplc="D90C3D1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6"/>
  </w:num>
  <w:num w:numId="4">
    <w:abstractNumId w:val="4"/>
  </w:num>
  <w:num w:numId="5">
    <w:abstractNumId w:val="9"/>
  </w:num>
  <w:num w:numId="6">
    <w:abstractNumId w:val="7"/>
  </w:num>
  <w:num w:numId="7">
    <w:abstractNumId w:val="2"/>
  </w:num>
  <w:num w:numId="8">
    <w:abstractNumId w:val="22"/>
  </w:num>
  <w:num w:numId="9">
    <w:abstractNumId w:val="11"/>
  </w:num>
  <w:num w:numId="10">
    <w:abstractNumId w:val="17"/>
  </w:num>
  <w:num w:numId="11">
    <w:abstractNumId w:val="29"/>
  </w:num>
  <w:num w:numId="12">
    <w:abstractNumId w:val="18"/>
  </w:num>
  <w:num w:numId="13">
    <w:abstractNumId w:val="20"/>
  </w:num>
  <w:num w:numId="14">
    <w:abstractNumId w:val="12"/>
  </w:num>
  <w:num w:numId="15">
    <w:abstractNumId w:val="24"/>
  </w:num>
  <w:num w:numId="16">
    <w:abstractNumId w:val="21"/>
  </w:num>
  <w:num w:numId="17">
    <w:abstractNumId w:val="10"/>
  </w:num>
  <w:num w:numId="18">
    <w:abstractNumId w:val="13"/>
  </w:num>
  <w:num w:numId="19">
    <w:abstractNumId w:val="3"/>
  </w:num>
  <w:num w:numId="20">
    <w:abstractNumId w:val="1"/>
  </w:num>
  <w:num w:numId="21">
    <w:abstractNumId w:val="0"/>
  </w:num>
  <w:num w:numId="22">
    <w:abstractNumId w:val="16"/>
  </w:num>
  <w:num w:numId="23">
    <w:abstractNumId w:val="28"/>
  </w:num>
  <w:num w:numId="24">
    <w:abstractNumId w:val="15"/>
  </w:num>
  <w:num w:numId="25">
    <w:abstractNumId w:val="19"/>
  </w:num>
  <w:num w:numId="26">
    <w:abstractNumId w:val="23"/>
  </w:num>
  <w:num w:numId="27">
    <w:abstractNumId w:val="25"/>
  </w:num>
  <w:num w:numId="28">
    <w:abstractNumId w:val="6"/>
  </w:num>
  <w:num w:numId="29">
    <w:abstractNumId w:val="8"/>
  </w:num>
  <w:num w:numId="30">
    <w:abstractNumId w:val="5"/>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C2"/>
    <w:rsid w:val="00004D3E"/>
    <w:rsid w:val="00005795"/>
    <w:rsid w:val="00011E07"/>
    <w:rsid w:val="0001385F"/>
    <w:rsid w:val="000146C2"/>
    <w:rsid w:val="0001556D"/>
    <w:rsid w:val="000422EC"/>
    <w:rsid w:val="00056CE4"/>
    <w:rsid w:val="000603D0"/>
    <w:rsid w:val="0006451D"/>
    <w:rsid w:val="00074368"/>
    <w:rsid w:val="00077ACC"/>
    <w:rsid w:val="00080131"/>
    <w:rsid w:val="00082EC3"/>
    <w:rsid w:val="00085209"/>
    <w:rsid w:val="000A3009"/>
    <w:rsid w:val="000C057D"/>
    <w:rsid w:val="000C6434"/>
    <w:rsid w:val="000D5AFB"/>
    <w:rsid w:val="000F4CD9"/>
    <w:rsid w:val="000F6C57"/>
    <w:rsid w:val="000F7EE2"/>
    <w:rsid w:val="0010090D"/>
    <w:rsid w:val="00102435"/>
    <w:rsid w:val="00114384"/>
    <w:rsid w:val="00132758"/>
    <w:rsid w:val="00136DD0"/>
    <w:rsid w:val="00140F00"/>
    <w:rsid w:val="00142053"/>
    <w:rsid w:val="0014767D"/>
    <w:rsid w:val="001629AD"/>
    <w:rsid w:val="00164166"/>
    <w:rsid w:val="00167464"/>
    <w:rsid w:val="00167956"/>
    <w:rsid w:val="00175D45"/>
    <w:rsid w:val="0019225C"/>
    <w:rsid w:val="001944A8"/>
    <w:rsid w:val="001A3E90"/>
    <w:rsid w:val="001B7302"/>
    <w:rsid w:val="001D57C0"/>
    <w:rsid w:val="001D6745"/>
    <w:rsid w:val="001E057F"/>
    <w:rsid w:val="001E49A3"/>
    <w:rsid w:val="001E5DF4"/>
    <w:rsid w:val="001F270C"/>
    <w:rsid w:val="00202441"/>
    <w:rsid w:val="002045B7"/>
    <w:rsid w:val="00211DA9"/>
    <w:rsid w:val="00222C53"/>
    <w:rsid w:val="002331E9"/>
    <w:rsid w:val="002344AF"/>
    <w:rsid w:val="00235552"/>
    <w:rsid w:val="00244CC7"/>
    <w:rsid w:val="00250B5D"/>
    <w:rsid w:val="00263D29"/>
    <w:rsid w:val="00266A19"/>
    <w:rsid w:val="00273A63"/>
    <w:rsid w:val="00274480"/>
    <w:rsid w:val="00286BCF"/>
    <w:rsid w:val="002918F1"/>
    <w:rsid w:val="002A5097"/>
    <w:rsid w:val="002C0AEB"/>
    <w:rsid w:val="002C15D4"/>
    <w:rsid w:val="002C45B0"/>
    <w:rsid w:val="002C7B0A"/>
    <w:rsid w:val="002D4443"/>
    <w:rsid w:val="002E2FB9"/>
    <w:rsid w:val="002F29AA"/>
    <w:rsid w:val="002F3B0D"/>
    <w:rsid w:val="002F6033"/>
    <w:rsid w:val="00301844"/>
    <w:rsid w:val="00303568"/>
    <w:rsid w:val="00305D19"/>
    <w:rsid w:val="00322816"/>
    <w:rsid w:val="00327CB6"/>
    <w:rsid w:val="00332184"/>
    <w:rsid w:val="00345F33"/>
    <w:rsid w:val="0035063D"/>
    <w:rsid w:val="003524E0"/>
    <w:rsid w:val="00353B34"/>
    <w:rsid w:val="00374006"/>
    <w:rsid w:val="00385E09"/>
    <w:rsid w:val="00391C8C"/>
    <w:rsid w:val="003A2077"/>
    <w:rsid w:val="003A229B"/>
    <w:rsid w:val="003B0523"/>
    <w:rsid w:val="003B142F"/>
    <w:rsid w:val="003B1C73"/>
    <w:rsid w:val="003B291D"/>
    <w:rsid w:val="003C47A0"/>
    <w:rsid w:val="003C7E79"/>
    <w:rsid w:val="003E7DB6"/>
    <w:rsid w:val="003F4761"/>
    <w:rsid w:val="00415385"/>
    <w:rsid w:val="004270C0"/>
    <w:rsid w:val="004272A0"/>
    <w:rsid w:val="00433D1C"/>
    <w:rsid w:val="00434754"/>
    <w:rsid w:val="00441348"/>
    <w:rsid w:val="00450D02"/>
    <w:rsid w:val="00454553"/>
    <w:rsid w:val="00467A4D"/>
    <w:rsid w:val="00470C8D"/>
    <w:rsid w:val="00473924"/>
    <w:rsid w:val="00490B65"/>
    <w:rsid w:val="00491220"/>
    <w:rsid w:val="00491BE6"/>
    <w:rsid w:val="004A05BF"/>
    <w:rsid w:val="004A4602"/>
    <w:rsid w:val="004A4B54"/>
    <w:rsid w:val="004A4C1F"/>
    <w:rsid w:val="004A5B5F"/>
    <w:rsid w:val="004B0585"/>
    <w:rsid w:val="004F5DD4"/>
    <w:rsid w:val="005118EF"/>
    <w:rsid w:val="005307CC"/>
    <w:rsid w:val="00553C5B"/>
    <w:rsid w:val="00554E00"/>
    <w:rsid w:val="005552C5"/>
    <w:rsid w:val="00562E39"/>
    <w:rsid w:val="0056674B"/>
    <w:rsid w:val="00571A43"/>
    <w:rsid w:val="00582330"/>
    <w:rsid w:val="00593920"/>
    <w:rsid w:val="0059554C"/>
    <w:rsid w:val="005A3A52"/>
    <w:rsid w:val="005B39A3"/>
    <w:rsid w:val="005F3669"/>
    <w:rsid w:val="005F3E40"/>
    <w:rsid w:val="00605EA2"/>
    <w:rsid w:val="006101A4"/>
    <w:rsid w:val="00616B3E"/>
    <w:rsid w:val="00617569"/>
    <w:rsid w:val="00620232"/>
    <w:rsid w:val="006213E2"/>
    <w:rsid w:val="00623424"/>
    <w:rsid w:val="00625F89"/>
    <w:rsid w:val="006314C9"/>
    <w:rsid w:val="0064061E"/>
    <w:rsid w:val="006515C1"/>
    <w:rsid w:val="0065593B"/>
    <w:rsid w:val="00666099"/>
    <w:rsid w:val="006A49B0"/>
    <w:rsid w:val="006C1636"/>
    <w:rsid w:val="006C1AA0"/>
    <w:rsid w:val="00723955"/>
    <w:rsid w:val="0074318D"/>
    <w:rsid w:val="007467DA"/>
    <w:rsid w:val="0075038C"/>
    <w:rsid w:val="007515E7"/>
    <w:rsid w:val="00753D66"/>
    <w:rsid w:val="00753F77"/>
    <w:rsid w:val="00754162"/>
    <w:rsid w:val="00757C7C"/>
    <w:rsid w:val="00760FF7"/>
    <w:rsid w:val="00771127"/>
    <w:rsid w:val="00771321"/>
    <w:rsid w:val="00775142"/>
    <w:rsid w:val="00782E30"/>
    <w:rsid w:val="00784F4F"/>
    <w:rsid w:val="007921D3"/>
    <w:rsid w:val="007A134F"/>
    <w:rsid w:val="007A70BF"/>
    <w:rsid w:val="007D241C"/>
    <w:rsid w:val="007D2AE7"/>
    <w:rsid w:val="007E28D3"/>
    <w:rsid w:val="007E3AA3"/>
    <w:rsid w:val="007F4C3C"/>
    <w:rsid w:val="007F55D4"/>
    <w:rsid w:val="008055E8"/>
    <w:rsid w:val="00805AAB"/>
    <w:rsid w:val="00805B3C"/>
    <w:rsid w:val="00811654"/>
    <w:rsid w:val="0083120A"/>
    <w:rsid w:val="00834B8A"/>
    <w:rsid w:val="00847D95"/>
    <w:rsid w:val="00854D0D"/>
    <w:rsid w:val="008556F4"/>
    <w:rsid w:val="0085632D"/>
    <w:rsid w:val="00856354"/>
    <w:rsid w:val="0086153F"/>
    <w:rsid w:val="00863634"/>
    <w:rsid w:val="008724FE"/>
    <w:rsid w:val="00882BBD"/>
    <w:rsid w:val="0089338C"/>
    <w:rsid w:val="008A54B7"/>
    <w:rsid w:val="008B2306"/>
    <w:rsid w:val="008B6439"/>
    <w:rsid w:val="008B6889"/>
    <w:rsid w:val="008C3924"/>
    <w:rsid w:val="008C4668"/>
    <w:rsid w:val="008C58C0"/>
    <w:rsid w:val="008D64D5"/>
    <w:rsid w:val="008E0FD1"/>
    <w:rsid w:val="008E1099"/>
    <w:rsid w:val="008E19A2"/>
    <w:rsid w:val="008F20AF"/>
    <w:rsid w:val="008F22B1"/>
    <w:rsid w:val="00934012"/>
    <w:rsid w:val="0095265A"/>
    <w:rsid w:val="0099680B"/>
    <w:rsid w:val="009B68EC"/>
    <w:rsid w:val="009E107E"/>
    <w:rsid w:val="009E3710"/>
    <w:rsid w:val="009E47A3"/>
    <w:rsid w:val="00A0034A"/>
    <w:rsid w:val="00A07501"/>
    <w:rsid w:val="00A34B41"/>
    <w:rsid w:val="00A37D87"/>
    <w:rsid w:val="00A46916"/>
    <w:rsid w:val="00A47CDD"/>
    <w:rsid w:val="00A61855"/>
    <w:rsid w:val="00A62B80"/>
    <w:rsid w:val="00A6697E"/>
    <w:rsid w:val="00A72F77"/>
    <w:rsid w:val="00A7512A"/>
    <w:rsid w:val="00A75FC5"/>
    <w:rsid w:val="00A80138"/>
    <w:rsid w:val="00A8030D"/>
    <w:rsid w:val="00A8374C"/>
    <w:rsid w:val="00A84443"/>
    <w:rsid w:val="00A91A99"/>
    <w:rsid w:val="00AA0095"/>
    <w:rsid w:val="00AA4B60"/>
    <w:rsid w:val="00AA5FBF"/>
    <w:rsid w:val="00AC5B44"/>
    <w:rsid w:val="00AD7801"/>
    <w:rsid w:val="00AE2544"/>
    <w:rsid w:val="00AE52D9"/>
    <w:rsid w:val="00AE7520"/>
    <w:rsid w:val="00AF0435"/>
    <w:rsid w:val="00AF1AD4"/>
    <w:rsid w:val="00B075FE"/>
    <w:rsid w:val="00B24D24"/>
    <w:rsid w:val="00B253C5"/>
    <w:rsid w:val="00B3507E"/>
    <w:rsid w:val="00B35240"/>
    <w:rsid w:val="00B3786B"/>
    <w:rsid w:val="00B4267D"/>
    <w:rsid w:val="00B616C2"/>
    <w:rsid w:val="00B61EA5"/>
    <w:rsid w:val="00B63844"/>
    <w:rsid w:val="00B711E1"/>
    <w:rsid w:val="00B85CD4"/>
    <w:rsid w:val="00B9612E"/>
    <w:rsid w:val="00BB277A"/>
    <w:rsid w:val="00BB533C"/>
    <w:rsid w:val="00BC0791"/>
    <w:rsid w:val="00BD42E4"/>
    <w:rsid w:val="00BD4F41"/>
    <w:rsid w:val="00BE5932"/>
    <w:rsid w:val="00BE6991"/>
    <w:rsid w:val="00C056C9"/>
    <w:rsid w:val="00C1125C"/>
    <w:rsid w:val="00C12CD6"/>
    <w:rsid w:val="00C14324"/>
    <w:rsid w:val="00C21000"/>
    <w:rsid w:val="00C23003"/>
    <w:rsid w:val="00C30614"/>
    <w:rsid w:val="00C336D5"/>
    <w:rsid w:val="00C472D9"/>
    <w:rsid w:val="00C67421"/>
    <w:rsid w:val="00C75789"/>
    <w:rsid w:val="00C912A3"/>
    <w:rsid w:val="00CA34B0"/>
    <w:rsid w:val="00CA4985"/>
    <w:rsid w:val="00CB214D"/>
    <w:rsid w:val="00CB517A"/>
    <w:rsid w:val="00CB7E28"/>
    <w:rsid w:val="00CC22C3"/>
    <w:rsid w:val="00CC760A"/>
    <w:rsid w:val="00CD7FCC"/>
    <w:rsid w:val="00CE18E8"/>
    <w:rsid w:val="00D05314"/>
    <w:rsid w:val="00D06EF3"/>
    <w:rsid w:val="00D1095D"/>
    <w:rsid w:val="00D203C4"/>
    <w:rsid w:val="00D21432"/>
    <w:rsid w:val="00D22DF6"/>
    <w:rsid w:val="00D271A4"/>
    <w:rsid w:val="00D27382"/>
    <w:rsid w:val="00D31CA2"/>
    <w:rsid w:val="00D3384A"/>
    <w:rsid w:val="00D44E36"/>
    <w:rsid w:val="00D53C07"/>
    <w:rsid w:val="00D55986"/>
    <w:rsid w:val="00D567F8"/>
    <w:rsid w:val="00D86410"/>
    <w:rsid w:val="00D90C42"/>
    <w:rsid w:val="00D910D2"/>
    <w:rsid w:val="00DB0088"/>
    <w:rsid w:val="00DB451B"/>
    <w:rsid w:val="00DE3DF9"/>
    <w:rsid w:val="00DE4120"/>
    <w:rsid w:val="00DE5BDD"/>
    <w:rsid w:val="00DF019C"/>
    <w:rsid w:val="00DF3658"/>
    <w:rsid w:val="00E00296"/>
    <w:rsid w:val="00E012A3"/>
    <w:rsid w:val="00E030F7"/>
    <w:rsid w:val="00E102D6"/>
    <w:rsid w:val="00E11B28"/>
    <w:rsid w:val="00E214E0"/>
    <w:rsid w:val="00E55DD7"/>
    <w:rsid w:val="00E6074D"/>
    <w:rsid w:val="00E66AF1"/>
    <w:rsid w:val="00E67A89"/>
    <w:rsid w:val="00E70512"/>
    <w:rsid w:val="00E724BA"/>
    <w:rsid w:val="00E75842"/>
    <w:rsid w:val="00E7688F"/>
    <w:rsid w:val="00E8338C"/>
    <w:rsid w:val="00E97D0D"/>
    <w:rsid w:val="00EA00BB"/>
    <w:rsid w:val="00EA21C4"/>
    <w:rsid w:val="00EB451B"/>
    <w:rsid w:val="00EB7478"/>
    <w:rsid w:val="00EC5129"/>
    <w:rsid w:val="00EC7645"/>
    <w:rsid w:val="00ED2656"/>
    <w:rsid w:val="00ED37A1"/>
    <w:rsid w:val="00ED6929"/>
    <w:rsid w:val="00F073C2"/>
    <w:rsid w:val="00F159F8"/>
    <w:rsid w:val="00F31963"/>
    <w:rsid w:val="00F47FE6"/>
    <w:rsid w:val="00F76FDC"/>
    <w:rsid w:val="00F8024D"/>
    <w:rsid w:val="00F93BAB"/>
    <w:rsid w:val="00F95899"/>
    <w:rsid w:val="00FC2110"/>
    <w:rsid w:val="00FC6EB2"/>
    <w:rsid w:val="00FE1319"/>
    <w:rsid w:val="00FE7A5F"/>
    <w:rsid w:val="00FF4F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BD8FC50-B112-4C48-8210-ED4AF4B1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A05BF"/>
    <w:pPr>
      <w:keepNext/>
      <w:keepLines/>
      <w:spacing w:before="480" w:after="0"/>
      <w:outlineLvl w:val="0"/>
    </w:pPr>
    <w:rPr>
      <w:rFonts w:ascii="Arial" w:eastAsiaTheme="majorEastAsia" w:hAnsi="Arial" w:cstheme="majorBidi"/>
      <w:b/>
      <w:bCs/>
      <w:sz w:val="28"/>
      <w:szCs w:val="28"/>
    </w:rPr>
  </w:style>
  <w:style w:type="paragraph" w:styleId="Ttulo2">
    <w:name w:val="heading 2"/>
    <w:basedOn w:val="Normal"/>
    <w:next w:val="Normal"/>
    <w:link w:val="Ttulo2Car"/>
    <w:uiPriority w:val="9"/>
    <w:unhideWhenUsed/>
    <w:qFormat/>
    <w:rsid w:val="004A05BF"/>
    <w:pPr>
      <w:keepNext/>
      <w:keepLines/>
      <w:spacing w:before="200" w:after="0"/>
      <w:outlineLvl w:val="1"/>
    </w:pPr>
    <w:rPr>
      <w:rFonts w:ascii="Arial" w:eastAsiaTheme="majorEastAsia" w:hAnsi="Arial" w:cstheme="majorBidi"/>
      <w:b/>
      <w:bCs/>
      <w:sz w:val="26"/>
      <w:szCs w:val="26"/>
    </w:rPr>
  </w:style>
  <w:style w:type="paragraph" w:styleId="Ttulo3">
    <w:name w:val="heading 3"/>
    <w:basedOn w:val="Normal"/>
    <w:next w:val="Normal"/>
    <w:link w:val="Ttulo3Car"/>
    <w:uiPriority w:val="9"/>
    <w:unhideWhenUsed/>
    <w:qFormat/>
    <w:rsid w:val="004A05BF"/>
    <w:pPr>
      <w:keepNext/>
      <w:keepLines/>
      <w:spacing w:before="200" w:after="0"/>
      <w:outlineLvl w:val="2"/>
    </w:pPr>
    <w:rPr>
      <w:rFonts w:ascii="Arial" w:eastAsiaTheme="majorEastAsia" w:hAnsi="Arial" w:cstheme="majorBidi"/>
      <w:b/>
      <w:bCs/>
      <w:sz w:val="24"/>
    </w:rPr>
  </w:style>
  <w:style w:type="paragraph" w:styleId="Ttulo4">
    <w:name w:val="heading 4"/>
    <w:basedOn w:val="Normal"/>
    <w:next w:val="Normal"/>
    <w:link w:val="Ttulo4Car"/>
    <w:uiPriority w:val="9"/>
    <w:unhideWhenUsed/>
    <w:qFormat/>
    <w:rsid w:val="004A05B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29AD"/>
    <w:pPr>
      <w:ind w:left="720"/>
      <w:contextualSpacing/>
    </w:pPr>
  </w:style>
  <w:style w:type="paragraph" w:customStyle="1" w:styleId="Default">
    <w:name w:val="Default"/>
    <w:rsid w:val="00D5598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D5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E59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932"/>
    <w:rPr>
      <w:rFonts w:ascii="Tahoma" w:hAnsi="Tahoma" w:cs="Tahoma"/>
      <w:sz w:val="16"/>
      <w:szCs w:val="16"/>
    </w:rPr>
  </w:style>
  <w:style w:type="character" w:customStyle="1" w:styleId="Ttulo1Car">
    <w:name w:val="Título 1 Car"/>
    <w:basedOn w:val="Fuentedeprrafopredeter"/>
    <w:link w:val="Ttulo1"/>
    <w:uiPriority w:val="9"/>
    <w:rsid w:val="004A05BF"/>
    <w:rPr>
      <w:rFonts w:ascii="Arial" w:eastAsiaTheme="majorEastAsia" w:hAnsi="Arial" w:cstheme="majorBidi"/>
      <w:b/>
      <w:bCs/>
      <w:sz w:val="28"/>
      <w:szCs w:val="28"/>
    </w:rPr>
  </w:style>
  <w:style w:type="character" w:customStyle="1" w:styleId="Ttulo2Car">
    <w:name w:val="Título 2 Car"/>
    <w:basedOn w:val="Fuentedeprrafopredeter"/>
    <w:link w:val="Ttulo2"/>
    <w:uiPriority w:val="9"/>
    <w:rsid w:val="004A05BF"/>
    <w:rPr>
      <w:rFonts w:ascii="Arial" w:eastAsiaTheme="majorEastAsia" w:hAnsi="Arial" w:cstheme="majorBidi"/>
      <w:b/>
      <w:bCs/>
      <w:sz w:val="26"/>
      <w:szCs w:val="26"/>
    </w:rPr>
  </w:style>
  <w:style w:type="character" w:customStyle="1" w:styleId="Ttulo3Car">
    <w:name w:val="Título 3 Car"/>
    <w:basedOn w:val="Fuentedeprrafopredeter"/>
    <w:link w:val="Ttulo3"/>
    <w:uiPriority w:val="9"/>
    <w:rsid w:val="004A05BF"/>
    <w:rPr>
      <w:rFonts w:ascii="Arial" w:eastAsiaTheme="majorEastAsia" w:hAnsi="Arial" w:cstheme="majorBidi"/>
      <w:b/>
      <w:bCs/>
      <w:sz w:val="24"/>
    </w:rPr>
  </w:style>
  <w:style w:type="character" w:customStyle="1" w:styleId="Ttulo4Car">
    <w:name w:val="Título 4 Car"/>
    <w:basedOn w:val="Fuentedeprrafopredeter"/>
    <w:link w:val="Ttulo4"/>
    <w:uiPriority w:val="9"/>
    <w:rsid w:val="004A05BF"/>
    <w:rPr>
      <w:rFonts w:asciiTheme="majorHAnsi" w:eastAsiaTheme="majorEastAsia" w:hAnsiTheme="majorHAnsi" w:cstheme="majorBidi"/>
      <w:b/>
      <w:bCs/>
      <w:i/>
      <w:iCs/>
      <w:color w:val="4F81BD" w:themeColor="accent1"/>
      <w:sz w:val="24"/>
    </w:rPr>
  </w:style>
  <w:style w:type="paragraph" w:styleId="TtulodeTDC">
    <w:name w:val="TOC Heading"/>
    <w:basedOn w:val="Ttulo1"/>
    <w:next w:val="Normal"/>
    <w:uiPriority w:val="39"/>
    <w:semiHidden/>
    <w:unhideWhenUsed/>
    <w:qFormat/>
    <w:rsid w:val="004A05BF"/>
    <w:pPr>
      <w:outlineLvl w:val="9"/>
    </w:pPr>
    <w:rPr>
      <w:lang w:eastAsia="es-CO"/>
    </w:rPr>
  </w:style>
  <w:style w:type="paragraph" w:styleId="TDC1">
    <w:name w:val="toc 1"/>
    <w:basedOn w:val="Normal"/>
    <w:next w:val="Normal"/>
    <w:autoRedefine/>
    <w:uiPriority w:val="39"/>
    <w:unhideWhenUsed/>
    <w:qFormat/>
    <w:rsid w:val="004A05BF"/>
    <w:pPr>
      <w:spacing w:after="100"/>
    </w:pPr>
    <w:rPr>
      <w:rFonts w:ascii="Arial" w:hAnsi="Arial"/>
      <w:sz w:val="24"/>
    </w:rPr>
  </w:style>
  <w:style w:type="character" w:styleId="Hipervnculo">
    <w:name w:val="Hyperlink"/>
    <w:basedOn w:val="Fuentedeprrafopredeter"/>
    <w:uiPriority w:val="99"/>
    <w:unhideWhenUsed/>
    <w:rsid w:val="004A05BF"/>
    <w:rPr>
      <w:color w:val="0000FF" w:themeColor="hyperlink"/>
      <w:u w:val="single"/>
    </w:rPr>
  </w:style>
  <w:style w:type="paragraph" w:styleId="TDC2">
    <w:name w:val="toc 2"/>
    <w:basedOn w:val="Normal"/>
    <w:next w:val="Normal"/>
    <w:autoRedefine/>
    <w:uiPriority w:val="39"/>
    <w:unhideWhenUsed/>
    <w:qFormat/>
    <w:rsid w:val="004A05BF"/>
    <w:pPr>
      <w:spacing w:after="100"/>
      <w:ind w:left="220"/>
    </w:pPr>
    <w:rPr>
      <w:rFonts w:ascii="Arial" w:hAnsi="Arial"/>
      <w:sz w:val="24"/>
    </w:rPr>
  </w:style>
  <w:style w:type="paragraph" w:styleId="TDC3">
    <w:name w:val="toc 3"/>
    <w:basedOn w:val="Normal"/>
    <w:next w:val="Normal"/>
    <w:autoRedefine/>
    <w:uiPriority w:val="39"/>
    <w:unhideWhenUsed/>
    <w:qFormat/>
    <w:rsid w:val="004A05BF"/>
    <w:pPr>
      <w:tabs>
        <w:tab w:val="right" w:leader="dot" w:pos="8828"/>
      </w:tabs>
      <w:spacing w:after="100"/>
      <w:ind w:left="440"/>
      <w:jc w:val="both"/>
    </w:pPr>
    <w:rPr>
      <w:rFonts w:ascii="Arial" w:hAnsi="Arial"/>
      <w:sz w:val="24"/>
    </w:rPr>
  </w:style>
  <w:style w:type="paragraph" w:styleId="Encabezado">
    <w:name w:val="header"/>
    <w:basedOn w:val="Normal"/>
    <w:link w:val="EncabezadoCar"/>
    <w:uiPriority w:val="99"/>
    <w:unhideWhenUsed/>
    <w:rsid w:val="004A05BF"/>
    <w:pPr>
      <w:tabs>
        <w:tab w:val="center" w:pos="4419"/>
        <w:tab w:val="right" w:pos="8838"/>
      </w:tabs>
      <w:spacing w:after="0" w:line="240" w:lineRule="auto"/>
    </w:pPr>
    <w:rPr>
      <w:rFonts w:ascii="Arial" w:hAnsi="Arial"/>
      <w:sz w:val="24"/>
    </w:rPr>
  </w:style>
  <w:style w:type="character" w:customStyle="1" w:styleId="EncabezadoCar">
    <w:name w:val="Encabezado Car"/>
    <w:basedOn w:val="Fuentedeprrafopredeter"/>
    <w:link w:val="Encabezado"/>
    <w:uiPriority w:val="99"/>
    <w:rsid w:val="004A05BF"/>
    <w:rPr>
      <w:rFonts w:ascii="Arial" w:hAnsi="Arial"/>
      <w:sz w:val="24"/>
    </w:rPr>
  </w:style>
  <w:style w:type="paragraph" w:styleId="Piedepgina">
    <w:name w:val="footer"/>
    <w:basedOn w:val="Normal"/>
    <w:link w:val="PiedepginaCar"/>
    <w:uiPriority w:val="99"/>
    <w:unhideWhenUsed/>
    <w:rsid w:val="004A05BF"/>
    <w:pPr>
      <w:tabs>
        <w:tab w:val="center" w:pos="4419"/>
        <w:tab w:val="right" w:pos="8838"/>
      </w:tabs>
      <w:spacing w:after="0" w:line="240" w:lineRule="auto"/>
    </w:pPr>
    <w:rPr>
      <w:rFonts w:ascii="Arial" w:hAnsi="Arial"/>
      <w:sz w:val="24"/>
    </w:rPr>
  </w:style>
  <w:style w:type="character" w:customStyle="1" w:styleId="PiedepginaCar">
    <w:name w:val="Pie de página Car"/>
    <w:basedOn w:val="Fuentedeprrafopredeter"/>
    <w:link w:val="Piedepgina"/>
    <w:uiPriority w:val="99"/>
    <w:rsid w:val="004A05BF"/>
    <w:rPr>
      <w:rFonts w:ascii="Arial" w:hAnsi="Arial"/>
      <w:sz w:val="24"/>
    </w:rPr>
  </w:style>
  <w:style w:type="paragraph" w:styleId="Sinespaciado">
    <w:name w:val="No Spacing"/>
    <w:uiPriority w:val="1"/>
    <w:qFormat/>
    <w:rsid w:val="004A05BF"/>
    <w:pPr>
      <w:spacing w:after="0" w:line="240" w:lineRule="auto"/>
    </w:pPr>
  </w:style>
  <w:style w:type="table" w:styleId="Sombreadoclaro">
    <w:name w:val="Light Shading"/>
    <w:basedOn w:val="Tablanormal"/>
    <w:uiPriority w:val="60"/>
    <w:rsid w:val="004A05BF"/>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notapie">
    <w:name w:val="footnote text"/>
    <w:aliases w:val="ft,ft Car Car Car,ft Car,Texto nota pie2,ft1,ft Car Car Car1,Texto nota pie Car2,ft Car Car2"/>
    <w:basedOn w:val="Normal"/>
    <w:link w:val="TextonotapieCar"/>
    <w:uiPriority w:val="99"/>
    <w:rsid w:val="004A05BF"/>
    <w:pPr>
      <w:spacing w:after="0" w:line="240" w:lineRule="auto"/>
      <w:jc w:val="both"/>
    </w:pPr>
    <w:rPr>
      <w:rFonts w:ascii="Calibri" w:eastAsia="Times New Roman" w:hAnsi="Calibri" w:cs="Times New Roman"/>
      <w:sz w:val="20"/>
      <w:szCs w:val="20"/>
      <w:lang w:val="es-ES" w:eastAsia="es-ES"/>
    </w:rPr>
  </w:style>
  <w:style w:type="character" w:customStyle="1" w:styleId="TextonotapieCar">
    <w:name w:val="Texto nota pie Car"/>
    <w:aliases w:val="ft Car1,ft Car Car Car Car,ft Car Car,Texto nota pie2 Car,ft1 Car,ft Car Car Car1 Car,Texto nota pie Car2 Car,ft Car Car2 Car"/>
    <w:basedOn w:val="Fuentedeprrafopredeter"/>
    <w:link w:val="Textonotapie"/>
    <w:uiPriority w:val="99"/>
    <w:rsid w:val="004A05BF"/>
    <w:rPr>
      <w:rFonts w:ascii="Calibri" w:eastAsia="Times New Roman" w:hAnsi="Calibri" w:cs="Times New Roman"/>
      <w:sz w:val="20"/>
      <w:szCs w:val="20"/>
      <w:lang w:val="es-ES" w:eastAsia="es-ES"/>
    </w:rPr>
  </w:style>
  <w:style w:type="character" w:styleId="Refdenotaalpie">
    <w:name w:val="footnote reference"/>
    <w:aliases w:val="Texto de nota al pie,Ref. de nota al pie2"/>
    <w:uiPriority w:val="99"/>
    <w:rsid w:val="004A05BF"/>
    <w:rPr>
      <w:vertAlign w:val="superscript"/>
    </w:rPr>
  </w:style>
  <w:style w:type="character" w:styleId="Refdecomentario">
    <w:name w:val="annotation reference"/>
    <w:basedOn w:val="Fuentedeprrafopredeter"/>
    <w:uiPriority w:val="99"/>
    <w:semiHidden/>
    <w:unhideWhenUsed/>
    <w:rsid w:val="007F4C3C"/>
    <w:rPr>
      <w:sz w:val="16"/>
      <w:szCs w:val="16"/>
    </w:rPr>
  </w:style>
  <w:style w:type="paragraph" w:styleId="Textocomentario">
    <w:name w:val="annotation text"/>
    <w:basedOn w:val="Normal"/>
    <w:link w:val="TextocomentarioCar"/>
    <w:uiPriority w:val="99"/>
    <w:semiHidden/>
    <w:unhideWhenUsed/>
    <w:rsid w:val="007F4C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4C3C"/>
    <w:rPr>
      <w:sz w:val="20"/>
      <w:szCs w:val="20"/>
    </w:rPr>
  </w:style>
  <w:style w:type="paragraph" w:styleId="Asuntodelcomentario">
    <w:name w:val="annotation subject"/>
    <w:basedOn w:val="Textocomentario"/>
    <w:next w:val="Textocomentario"/>
    <w:link w:val="AsuntodelcomentarioCar"/>
    <w:uiPriority w:val="99"/>
    <w:semiHidden/>
    <w:unhideWhenUsed/>
    <w:rsid w:val="007F4C3C"/>
    <w:rPr>
      <w:b/>
      <w:bCs/>
    </w:rPr>
  </w:style>
  <w:style w:type="character" w:customStyle="1" w:styleId="AsuntodelcomentarioCar">
    <w:name w:val="Asunto del comentario Car"/>
    <w:basedOn w:val="TextocomentarioCar"/>
    <w:link w:val="Asuntodelcomentario"/>
    <w:uiPriority w:val="99"/>
    <w:semiHidden/>
    <w:rsid w:val="007F4C3C"/>
    <w:rPr>
      <w:b/>
      <w:bCs/>
      <w:sz w:val="20"/>
      <w:szCs w:val="20"/>
    </w:rPr>
  </w:style>
  <w:style w:type="paragraph" w:styleId="Textonotaalfinal">
    <w:name w:val="endnote text"/>
    <w:basedOn w:val="Normal"/>
    <w:link w:val="TextonotaalfinalCar"/>
    <w:uiPriority w:val="99"/>
    <w:semiHidden/>
    <w:unhideWhenUsed/>
    <w:rsid w:val="00616B3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16B3E"/>
    <w:rPr>
      <w:sz w:val="20"/>
      <w:szCs w:val="20"/>
    </w:rPr>
  </w:style>
  <w:style w:type="character" w:styleId="Refdenotaalfinal">
    <w:name w:val="endnote reference"/>
    <w:basedOn w:val="Fuentedeprrafopredeter"/>
    <w:uiPriority w:val="99"/>
    <w:semiHidden/>
    <w:unhideWhenUsed/>
    <w:rsid w:val="00616B3E"/>
    <w:rPr>
      <w:vertAlign w:val="superscript"/>
    </w:rPr>
  </w:style>
  <w:style w:type="paragraph" w:styleId="Revisin">
    <w:name w:val="Revision"/>
    <w:hidden/>
    <w:uiPriority w:val="99"/>
    <w:semiHidden/>
    <w:rsid w:val="00A72F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9859">
      <w:bodyDiv w:val="1"/>
      <w:marLeft w:val="0"/>
      <w:marRight w:val="0"/>
      <w:marTop w:val="0"/>
      <w:marBottom w:val="0"/>
      <w:divBdr>
        <w:top w:val="none" w:sz="0" w:space="0" w:color="auto"/>
        <w:left w:val="none" w:sz="0" w:space="0" w:color="auto"/>
        <w:bottom w:val="none" w:sz="0" w:space="0" w:color="auto"/>
        <w:right w:val="none" w:sz="0" w:space="0" w:color="auto"/>
      </w:divBdr>
    </w:div>
    <w:div w:id="71315497">
      <w:bodyDiv w:val="1"/>
      <w:marLeft w:val="0"/>
      <w:marRight w:val="0"/>
      <w:marTop w:val="0"/>
      <w:marBottom w:val="0"/>
      <w:divBdr>
        <w:top w:val="none" w:sz="0" w:space="0" w:color="auto"/>
        <w:left w:val="none" w:sz="0" w:space="0" w:color="auto"/>
        <w:bottom w:val="none" w:sz="0" w:space="0" w:color="auto"/>
        <w:right w:val="none" w:sz="0" w:space="0" w:color="auto"/>
      </w:divBdr>
    </w:div>
    <w:div w:id="120195827">
      <w:bodyDiv w:val="1"/>
      <w:marLeft w:val="0"/>
      <w:marRight w:val="0"/>
      <w:marTop w:val="0"/>
      <w:marBottom w:val="0"/>
      <w:divBdr>
        <w:top w:val="none" w:sz="0" w:space="0" w:color="auto"/>
        <w:left w:val="none" w:sz="0" w:space="0" w:color="auto"/>
        <w:bottom w:val="none" w:sz="0" w:space="0" w:color="auto"/>
        <w:right w:val="none" w:sz="0" w:space="0" w:color="auto"/>
      </w:divBdr>
    </w:div>
    <w:div w:id="163478244">
      <w:bodyDiv w:val="1"/>
      <w:marLeft w:val="0"/>
      <w:marRight w:val="0"/>
      <w:marTop w:val="0"/>
      <w:marBottom w:val="0"/>
      <w:divBdr>
        <w:top w:val="none" w:sz="0" w:space="0" w:color="auto"/>
        <w:left w:val="none" w:sz="0" w:space="0" w:color="auto"/>
        <w:bottom w:val="none" w:sz="0" w:space="0" w:color="auto"/>
        <w:right w:val="none" w:sz="0" w:space="0" w:color="auto"/>
      </w:divBdr>
    </w:div>
    <w:div w:id="342826510">
      <w:bodyDiv w:val="1"/>
      <w:marLeft w:val="0"/>
      <w:marRight w:val="0"/>
      <w:marTop w:val="0"/>
      <w:marBottom w:val="0"/>
      <w:divBdr>
        <w:top w:val="none" w:sz="0" w:space="0" w:color="auto"/>
        <w:left w:val="none" w:sz="0" w:space="0" w:color="auto"/>
        <w:bottom w:val="none" w:sz="0" w:space="0" w:color="auto"/>
        <w:right w:val="none" w:sz="0" w:space="0" w:color="auto"/>
      </w:divBdr>
    </w:div>
    <w:div w:id="375812942">
      <w:bodyDiv w:val="1"/>
      <w:marLeft w:val="0"/>
      <w:marRight w:val="0"/>
      <w:marTop w:val="0"/>
      <w:marBottom w:val="0"/>
      <w:divBdr>
        <w:top w:val="none" w:sz="0" w:space="0" w:color="auto"/>
        <w:left w:val="none" w:sz="0" w:space="0" w:color="auto"/>
        <w:bottom w:val="none" w:sz="0" w:space="0" w:color="auto"/>
        <w:right w:val="none" w:sz="0" w:space="0" w:color="auto"/>
      </w:divBdr>
    </w:div>
    <w:div w:id="569772701">
      <w:bodyDiv w:val="1"/>
      <w:marLeft w:val="0"/>
      <w:marRight w:val="0"/>
      <w:marTop w:val="0"/>
      <w:marBottom w:val="0"/>
      <w:divBdr>
        <w:top w:val="none" w:sz="0" w:space="0" w:color="auto"/>
        <w:left w:val="none" w:sz="0" w:space="0" w:color="auto"/>
        <w:bottom w:val="none" w:sz="0" w:space="0" w:color="auto"/>
        <w:right w:val="none" w:sz="0" w:space="0" w:color="auto"/>
      </w:divBdr>
    </w:div>
    <w:div w:id="583340200">
      <w:bodyDiv w:val="1"/>
      <w:marLeft w:val="0"/>
      <w:marRight w:val="0"/>
      <w:marTop w:val="0"/>
      <w:marBottom w:val="0"/>
      <w:divBdr>
        <w:top w:val="none" w:sz="0" w:space="0" w:color="auto"/>
        <w:left w:val="none" w:sz="0" w:space="0" w:color="auto"/>
        <w:bottom w:val="none" w:sz="0" w:space="0" w:color="auto"/>
        <w:right w:val="none" w:sz="0" w:space="0" w:color="auto"/>
      </w:divBdr>
    </w:div>
    <w:div w:id="646664594">
      <w:bodyDiv w:val="1"/>
      <w:marLeft w:val="0"/>
      <w:marRight w:val="0"/>
      <w:marTop w:val="0"/>
      <w:marBottom w:val="0"/>
      <w:divBdr>
        <w:top w:val="none" w:sz="0" w:space="0" w:color="auto"/>
        <w:left w:val="none" w:sz="0" w:space="0" w:color="auto"/>
        <w:bottom w:val="none" w:sz="0" w:space="0" w:color="auto"/>
        <w:right w:val="none" w:sz="0" w:space="0" w:color="auto"/>
      </w:divBdr>
    </w:div>
    <w:div w:id="861673615">
      <w:bodyDiv w:val="1"/>
      <w:marLeft w:val="0"/>
      <w:marRight w:val="0"/>
      <w:marTop w:val="0"/>
      <w:marBottom w:val="0"/>
      <w:divBdr>
        <w:top w:val="none" w:sz="0" w:space="0" w:color="auto"/>
        <w:left w:val="none" w:sz="0" w:space="0" w:color="auto"/>
        <w:bottom w:val="none" w:sz="0" w:space="0" w:color="auto"/>
        <w:right w:val="none" w:sz="0" w:space="0" w:color="auto"/>
      </w:divBdr>
    </w:div>
    <w:div w:id="945188971">
      <w:bodyDiv w:val="1"/>
      <w:marLeft w:val="0"/>
      <w:marRight w:val="0"/>
      <w:marTop w:val="0"/>
      <w:marBottom w:val="0"/>
      <w:divBdr>
        <w:top w:val="none" w:sz="0" w:space="0" w:color="auto"/>
        <w:left w:val="none" w:sz="0" w:space="0" w:color="auto"/>
        <w:bottom w:val="none" w:sz="0" w:space="0" w:color="auto"/>
        <w:right w:val="none" w:sz="0" w:space="0" w:color="auto"/>
      </w:divBdr>
    </w:div>
    <w:div w:id="1060790318">
      <w:bodyDiv w:val="1"/>
      <w:marLeft w:val="0"/>
      <w:marRight w:val="0"/>
      <w:marTop w:val="0"/>
      <w:marBottom w:val="0"/>
      <w:divBdr>
        <w:top w:val="none" w:sz="0" w:space="0" w:color="auto"/>
        <w:left w:val="none" w:sz="0" w:space="0" w:color="auto"/>
        <w:bottom w:val="none" w:sz="0" w:space="0" w:color="auto"/>
        <w:right w:val="none" w:sz="0" w:space="0" w:color="auto"/>
      </w:divBdr>
    </w:div>
    <w:div w:id="1139763245">
      <w:bodyDiv w:val="1"/>
      <w:marLeft w:val="0"/>
      <w:marRight w:val="0"/>
      <w:marTop w:val="0"/>
      <w:marBottom w:val="0"/>
      <w:divBdr>
        <w:top w:val="none" w:sz="0" w:space="0" w:color="auto"/>
        <w:left w:val="none" w:sz="0" w:space="0" w:color="auto"/>
        <w:bottom w:val="none" w:sz="0" w:space="0" w:color="auto"/>
        <w:right w:val="none" w:sz="0" w:space="0" w:color="auto"/>
      </w:divBdr>
    </w:div>
    <w:div w:id="1177965843">
      <w:bodyDiv w:val="1"/>
      <w:marLeft w:val="0"/>
      <w:marRight w:val="0"/>
      <w:marTop w:val="0"/>
      <w:marBottom w:val="0"/>
      <w:divBdr>
        <w:top w:val="none" w:sz="0" w:space="0" w:color="auto"/>
        <w:left w:val="none" w:sz="0" w:space="0" w:color="auto"/>
        <w:bottom w:val="none" w:sz="0" w:space="0" w:color="auto"/>
        <w:right w:val="none" w:sz="0" w:space="0" w:color="auto"/>
      </w:divBdr>
    </w:div>
    <w:div w:id="1247033641">
      <w:bodyDiv w:val="1"/>
      <w:marLeft w:val="0"/>
      <w:marRight w:val="0"/>
      <w:marTop w:val="0"/>
      <w:marBottom w:val="0"/>
      <w:divBdr>
        <w:top w:val="none" w:sz="0" w:space="0" w:color="auto"/>
        <w:left w:val="none" w:sz="0" w:space="0" w:color="auto"/>
        <w:bottom w:val="none" w:sz="0" w:space="0" w:color="auto"/>
        <w:right w:val="none" w:sz="0" w:space="0" w:color="auto"/>
      </w:divBdr>
    </w:div>
    <w:div w:id="1434588601">
      <w:bodyDiv w:val="1"/>
      <w:marLeft w:val="0"/>
      <w:marRight w:val="0"/>
      <w:marTop w:val="0"/>
      <w:marBottom w:val="0"/>
      <w:divBdr>
        <w:top w:val="none" w:sz="0" w:space="0" w:color="auto"/>
        <w:left w:val="none" w:sz="0" w:space="0" w:color="auto"/>
        <w:bottom w:val="none" w:sz="0" w:space="0" w:color="auto"/>
        <w:right w:val="none" w:sz="0" w:space="0" w:color="auto"/>
      </w:divBdr>
    </w:div>
    <w:div w:id="1467429321">
      <w:bodyDiv w:val="1"/>
      <w:marLeft w:val="0"/>
      <w:marRight w:val="0"/>
      <w:marTop w:val="0"/>
      <w:marBottom w:val="0"/>
      <w:divBdr>
        <w:top w:val="none" w:sz="0" w:space="0" w:color="auto"/>
        <w:left w:val="none" w:sz="0" w:space="0" w:color="auto"/>
        <w:bottom w:val="none" w:sz="0" w:space="0" w:color="auto"/>
        <w:right w:val="none" w:sz="0" w:space="0" w:color="auto"/>
      </w:divBdr>
    </w:div>
    <w:div w:id="1678384154">
      <w:bodyDiv w:val="1"/>
      <w:marLeft w:val="0"/>
      <w:marRight w:val="0"/>
      <w:marTop w:val="0"/>
      <w:marBottom w:val="0"/>
      <w:divBdr>
        <w:top w:val="none" w:sz="0" w:space="0" w:color="auto"/>
        <w:left w:val="none" w:sz="0" w:space="0" w:color="auto"/>
        <w:bottom w:val="none" w:sz="0" w:space="0" w:color="auto"/>
        <w:right w:val="none" w:sz="0" w:space="0" w:color="auto"/>
      </w:divBdr>
    </w:div>
    <w:div w:id="1829245968">
      <w:bodyDiv w:val="1"/>
      <w:marLeft w:val="0"/>
      <w:marRight w:val="0"/>
      <w:marTop w:val="0"/>
      <w:marBottom w:val="0"/>
      <w:divBdr>
        <w:top w:val="none" w:sz="0" w:space="0" w:color="auto"/>
        <w:left w:val="none" w:sz="0" w:space="0" w:color="auto"/>
        <w:bottom w:val="none" w:sz="0" w:space="0" w:color="auto"/>
        <w:right w:val="none" w:sz="0" w:space="0" w:color="auto"/>
      </w:divBdr>
    </w:div>
    <w:div w:id="1999916006">
      <w:bodyDiv w:val="1"/>
      <w:marLeft w:val="0"/>
      <w:marRight w:val="0"/>
      <w:marTop w:val="0"/>
      <w:marBottom w:val="0"/>
      <w:divBdr>
        <w:top w:val="none" w:sz="0" w:space="0" w:color="auto"/>
        <w:left w:val="none" w:sz="0" w:space="0" w:color="auto"/>
        <w:bottom w:val="none" w:sz="0" w:space="0" w:color="auto"/>
        <w:right w:val="none" w:sz="0" w:space="0" w:color="auto"/>
      </w:divBdr>
    </w:div>
    <w:div w:id="20067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diciondecuentas@auditoria.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65E4-530D-45FC-A790-7894EFBE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2302</Words>
  <Characters>12665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Edinson Heyner Palacios Castillo</dc:creator>
  <cp:lastModifiedBy>Jose Rolando Sarmiento Perez</cp:lastModifiedBy>
  <cp:revision>4</cp:revision>
  <dcterms:created xsi:type="dcterms:W3CDTF">2020-01-31T20:45:00Z</dcterms:created>
  <dcterms:modified xsi:type="dcterms:W3CDTF">2020-01-31T20:53:00Z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-938335814</vt:i4>
  </property>
</Properties>
</file>